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Guide utilisateur détaillé</w:t>
      </w:r>
    </w:p>
    <w:p>
      <w:r>
        <w:t>OpenVisio v40.2 — édition documentaire cumulative</w:t>
        <w:br/>
        <w:t>Auteur : Abdelhalim Talbi</w:t>
        <w:br/>
        <w:t>État : exemples fictifs identifiés ; qualification native Windows non réalisée.</w:t>
      </w:r>
    </w:p>
    <w:p>
      <w:pPr>
        <w:pStyle w:val="Heading1"/>
      </w:pPr>
      <w:r>
        <w:t>Périmètre et traçabilité</w:t>
      </w:r>
    </w:p>
    <w:p>
      <w:r>
        <w:t>Cette documentation décrit les sources disponibles dans l’archive cumulative. La version applicative demeure 40.1.0 ; la version documentaire et de packaging est 40.2.</w:t>
      </w:r>
    </w:p>
    <w:p>
      <w:pPr>
        <w:pStyle w:val="Heading1"/>
      </w:pPr>
      <w:r>
        <w:t>1. Créer et éditer</w:t>
      </w:r>
    </w:p>
    <w:p>
      <w:pPr/>
      <w:r>
        <w:t>Nouveau diagramme : Ctrl+N hors zone de saisie. Ouvrir : Ctrl+O. Enregistrer : Ctrl+S. Rechercher une forme : touche / hors dialogue. La bibliothèque propose favoris, récentes et catégories métier.</w:t>
      </w:r>
    </w:p>
    <w:p>
      <w:pPr>
        <w:pStyle w:val="Heading1"/>
      </w:pPr>
      <w:r>
        <w:t>2. Inspecteur</w:t>
      </w:r>
    </w:p>
    <w:p>
      <w:pPr/>
      <w:r>
        <w:t>Sélectionner un objet ; filtrer les champs via Général, Apparence, Connexions, SAN ou Résilience. La recherche permet de retrouver les propriétés avancées.</w:t>
      </w:r>
    </w:p>
    <w:p>
      <w:pPr>
        <w:pStyle w:val="Heading1"/>
      </w:pPr>
      <w:r>
        <w:t>3. Sauvegarde</w:t>
      </w:r>
    </w:p>
    <w:p>
      <w:pPr/>
      <w:r>
        <w:t>La sauvegarde sur disque utilise File System Access si disponible ; la validation attend la fermeture du flux. Le téléchargement JSON classique reste possible, mais ne garantit pas à lui seul l’écriture effective.</w:t>
      </w:r>
    </w:p>
    <w:p>
      <w:pPr>
        <w:pStyle w:val="Heading1"/>
      </w:pPr>
      <w:r>
        <w:t>4. Cas fictif SAN</w:t>
      </w:r>
    </w:p>
    <w:p>
      <w:pPr/>
      <w:r>
        <w:t>EXEMPLE FICTIF : switch FAB-A-SW01, fabric A, VSAN 10 ; switch FAB-B-SW01, fabric B, VSAN 20 ; deux chemins distincts pour un hôte. Ces noms et valeurs ne sont pas issus d’un environnement réel.</w:t>
      </w:r>
    </w:p>
    <w:p>
      <w:pPr>
        <w:pStyle w:val="Heading1"/>
      </w:pPr>
      <w:r>
        <w:t>5. Procédure de recette</w:t>
      </w:r>
    </w:p>
    <w:p>
      <w:pPr/>
      <w:r>
        <w:t>Créer un diagramme, ajouter deux équipements, sauvegarder, rouvrir, contrôler noms/connexions, modifier une propriété, vérifier l’indicateur de modifications.</w:t>
      </w:r>
    </w:p>
    <w:p>
      <w:pPr>
        <w:pStyle w:val="Heading1"/>
      </w:pPr>
      <w:r>
        <w:t>Organigrammes et illustrations</w:t>
      </w:r>
    </w:p>
    <w:p>
      <w:r>
        <w:t>01 Parcours utilisateur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arcours-utilisat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02 Architecture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03 Compilation</w:t>
      </w:r>
    </w:p>
    <w:p>
      <w:r>
        <w:drawing>
          <wp:inline xmlns:a="http://schemas.openxmlformats.org/drawingml/2006/main" xmlns:pic="http://schemas.openxmlformats.org/drawingml/2006/picture">
            <wp:extent cx="5212080" cy="1792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i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2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04 Sauvegarde</w:t>
      </w:r>
    </w:p>
    <w:p>
      <w:r>
        <w:drawing>
          <wp:inline xmlns:a="http://schemas.openxmlformats.org/drawingml/2006/main" xmlns:pic="http://schemas.openxmlformats.org/drawingml/2006/picture">
            <wp:extent cx="5212080" cy="1780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auvegar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8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r>
        <w:t>05 Qualification</w:t>
      </w:r>
    </w:p>
    <w:p>
      <w:r>
        <w:drawing>
          <wp:inline xmlns:a="http://schemas.openxmlformats.org/drawingml/2006/main" xmlns:pic="http://schemas.openxmlformats.org/drawingml/2006/picture">
            <wp:extent cx="5212080" cy="1797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alif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797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Schéma conceptuel — aucune capture d’interface réelle.</w:t>
      </w:r>
    </w:p>
    <w:p>
      <w:pPr>
        <w:pStyle w:val="Heading1"/>
      </w:pPr>
      <w:r>
        <w:t>Points de contrôle</w:t>
      </w:r>
    </w:p>
    <w:p>
      <w:pPr>
        <w:pStyle w:val="ListBullet"/>
      </w:pPr>
      <w:r>
        <w:t>Vérifier les chemins, scripts et prérequis avant exécution.</w:t>
      </w:r>
    </w:p>
    <w:p>
      <w:pPr>
        <w:pStyle w:val="ListBullet"/>
      </w:pPr>
      <w:r>
        <w:t>Conserver le code retour, les journaux et les résultats réellement observés.</w:t>
      </w:r>
    </w:p>
    <w:p>
      <w:pPr>
        <w:pStyle w:val="ListBullet"/>
      </w:pPr>
      <w:r>
        <w:t>Distinguer résultats attendus fictifs et résultats de qualification réels.</w:t>
      </w:r>
    </w:p>
    <w:p>
      <w:pPr>
        <w:pStyle w:val="ListBullet"/>
      </w:pPr>
      <w:r>
        <w:t>Compléter les captures sur une machine Windows avec WebView2.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OPENVISIO  |  DOCUMENTATION TECHNIQUE  |  v40.2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