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v40.3 — Parcours utilisateur et reprise</w:t>
      </w:r>
    </w:p>
    <w:p>
      <w:r>
        <w:t>Auteur : Abdelhalim Talbi</w:t>
      </w:r>
    </w:p>
    <w:p>
      <w:pPr>
        <w:pStyle w:val="Heading1"/>
      </w:pPr>
      <w:r>
        <w:t>Objet</w:t>
      </w:r>
    </w:p>
    <w:p>
      <w:r>
        <w:t>Avant modification, exporter le diagramme JSON. Pour une récupération future, créer un enregistrement via createRecoveryRecord(diagram), le conserver dans un stockage autorisé puis le vérifier avec verifyRecoveryRecord(record) avant de l’importer. Ce flux est illustratif et nécessite une intégration applicative.</w:t>
      </w:r>
    </w:p>
    <w:p>
      <w:pPr>
        <w:pStyle w:val="Heading1"/>
      </w:pPr>
      <w:r>
        <w:t>Organigramme conceptuel</w:t>
      </w:r>
    </w:p>
    <w:p>
      <w:pPr>
        <w:pStyle w:val="ListBullet"/>
      </w:pPr>
      <w:r>
        <w:t>Entrée : diagramme JSON</w:t>
      </w:r>
    </w:p>
    <w:p>
      <w:pPr>
        <w:pStyle w:val="ListBullet"/>
      </w:pPr>
      <w:r>
        <w:t>Création de snapshot SHA256</w:t>
      </w:r>
    </w:p>
    <w:p>
      <w:pPr>
        <w:pStyle w:val="ListBullet"/>
      </w:pPr>
      <w:r>
        <w:t>Conservation explicite par l’appelant</w:t>
      </w:r>
    </w:p>
    <w:p>
      <w:pPr>
        <w:pStyle w:val="ListBullet"/>
      </w:pPr>
      <w:r>
        <w:t>Vérification de l’empreinte</w:t>
      </w:r>
    </w:p>
    <w:p>
      <w:pPr>
        <w:pStyle w:val="ListBullet"/>
      </w:pPr>
      <w:r>
        <w:t>Restauration contrôlée après validation</w:t>
      </w:r>
    </w:p>
    <w:p>
      <w:pPr>
        <w:pStyle w:val="Heading1"/>
      </w:pPr>
      <w:r>
        <w:t>Limites de qualification</w:t>
      </w:r>
    </w:p>
    <w:p>
      <w:r>
        <w:t>Schéma et commandes illustratifs. Aucune capture Windows native ni compilation d’EXE réalisée dans cet environnement.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