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OpenVisio v41.5 — 02-UTILISATION</w:t>
      </w:r>
    </w:p>
    <w:p>
      <w:r>
        <w:t>Auteur : Abdelhalim Talbi</w:t>
      </w:r>
    </w:p>
    <w:p>
      <w:pPr>
        <w:pStyle w:val="Heading1"/>
      </w:pPr>
      <w:r>
        <w:t>Objectif</w:t>
      </w:r>
    </w:p>
    <w:p>
      <w:r>
        <w:t>Fiabiliser le cache spatial sans introduire de dette historique.</w:t>
      </w:r>
    </w:p>
    <w:p>
      <w:pPr>
        <w:pStyle w:val="Heading1"/>
      </w:pPr>
      <w:r>
        <w:t>Parcours utilisateur</w:t>
      </w:r>
    </w:p>
    <w:p>
      <w:r>
        <w:t>Les commandes actuelles de création, déplacement et édition de connexions restent inchangées.</w:t>
      </w:r>
    </w:p>
    <w:p>
      <w:pPr>
        <w:pStyle w:val="Heading1"/>
      </w:pPr>
      <w:r>
        <w:t>Limite</w:t>
      </w:r>
    </w:p>
    <w:p>
      <w:r>
        <w:t>La nouvelle API est interne et n’ajoute pas de commande visible.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