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v41.6 — Utilisation du magasin de routes</w:t>
      </w:r>
    </w:p>
    <w:p>
      <w:r>
        <w:t>Auteur : Abdelhalim Talbi</w:t>
      </w:r>
    </w:p>
    <w:p>
      <w:pPr>
        <w:pStyle w:val="Heading1"/>
      </w:pPr>
      <w:r>
        <w:t>Objectif</w:t>
      </w:r>
    </w:p>
    <w:p>
      <w:r>
        <w:t>Créer le magasin avec createRouteStore(new Map()). Lire les routes avec get(id), obtenir une copie complète avec snapshot(), et modifier via set, delete, clear ou replace.</w:t>
      </w:r>
    </w:p>
    <w:p>
      <w:pPr>
        <w:pStyle w:val="Heading1"/>
      </w:pPr>
      <w:r>
        <w:t>Fonctionnement et limites</w:t>
      </w:r>
    </w:p>
    <w:p>
      <w:r>
        <w:t>Exemple fictif : une route SAN A/B est insérée, puis un client modifie les points de sa copie locale ; la route conservée par le magasin reste inchangée.</w:t>
      </w:r>
    </w:p>
    <w:p>
      <w:pPr>
        <w:pStyle w:val="Heading1"/>
      </w:pPr>
      <w:r>
        <w:t>Architecture de principe</w:t>
      </w:r>
    </w:p>
    <w:p>
      <w:r>
        <w:t>Client → API de copie → magasin privé de routes → cache indexé par révision.</w:t>
      </w:r>
    </w:p>
    <w:p>
      <w:pPr>
        <w:pStyle w:val="Heading1"/>
      </w:pPr>
      <w:r>
        <w:t>Qualification</w:t>
      </w:r>
    </w:p>
    <w:p>
      <w:r>
        <w:t>Commande : node --test tests/*.test.mjs. Résultat attendu : code retour 0 et zéro échec.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