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Utilisation du routage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Ouvrir un diagramme SAN existant. Créer ou déplacer des formes et vérifier que les connexions suivent les objets.</w:t>
      </w:r>
    </w:p>
    <w:p>
      <w:pPr>
        <w:pStyle w:val="Heading2"/>
      </w:pPr>
      <w:r>
        <w:t>2. Procédure</w:t>
      </w:r>
    </w:p>
    <w:p>
      <w:r>
        <w:t>Le cache est transparent : aucune action utilisateur spécifique n’est nécessaire. Une signature de géométrie modifiée déclenche le calcul du nouveau tracé.</w:t>
      </w:r>
    </w:p>
    <w:p>
      <w:pPr>
        <w:pStyle w:val="Heading2"/>
      </w:pPr>
      <w:r>
        <w:t>3. Validation</w:t>
      </w:r>
    </w:p>
    <w:p>
      <w:r>
        <w:t>Exemple fictif : déplacement d’un switch FC de x=200 à x=320 ; la route est recalculée lorsque sa clé géométrique change. Cet exemple n’est pas une capture réelle.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