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v41.8 — 02 UTILISATION</w:t>
      </w:r>
    </w:p>
    <w:p>
      <w:r>
        <w:t>Auteur : Abdelhalim Talbi | Version cumulative v41.8</w:t>
      </w:r>
    </w:p>
    <w:p>
      <w:pPr>
        <w:pStyle w:val="Heading2"/>
      </w:pPr>
      <w:r>
        <w:t xml:space="preserve">1. Ouvrir le projet dans le navigateur ou WebView2 selon le mode de </w:t>
      </w:r>
    </w:p>
    <w:p>
      <w:r>
        <w:t>Ouvrir le projet dans le navigateur ou WebView2 selon le mode de développement existant.</w:t>
      </w:r>
    </w:p>
    <w:p>
      <w:pPr>
        <w:pStyle w:val="Heading2"/>
      </w:pPr>
      <w:r>
        <w:t xml:space="preserve">2. Le cache fonctionne en interne </w:t>
      </w:r>
    </w:p>
    <w:p>
      <w:r>
        <w:t>Le cache fonctionne en interne : aucune nouvelle commande utilisateur n’est exposée.</w:t>
      </w:r>
    </w:p>
    <w:p>
      <w:pPr>
        <w:pStyle w:val="Heading2"/>
      </w:pPr>
      <w:r>
        <w:t>3. Une modification de connexion doit provoquer un recalcul de sa ro</w:t>
      </w:r>
    </w:p>
    <w:p>
      <w:r>
        <w:t>Une modification de connexion doit provoquer un recalcul de sa route. La suppression ciblée est disponible dans l’API mais pas encore branchée sur chaque commande.</w:t>
      </w:r>
    </w:p>
    <w:p>
      <w:pPr>
        <w:pStyle w:val="Heading2"/>
      </w:pPr>
      <w:r>
        <w:t>Limites de qualification</w:t>
      </w:r>
    </w:p>
    <w:p>
      <w:r>
        <w:t>Pas de compilation native Windows ni de captures UI réelles dans cette livraison. Tests Node.js et mesures synthétiques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