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v40.0 — 03-INSTALLATION</w:t>
      </w:r>
    </w:p>
    <w:p>
      <w:r>
        <w:t>Installer les pre-requis Windows indiques dans le dossier application/windows.</w:t>
      </w:r>
    </w:p>
    <w:p>
      <w:r>
        <w:t>Pour une utilisation native, compiler le projet .NET puis installer WebView2 Runtime si necessaire.</w:t>
      </w:r>
    </w:p>
    <w:p>
      <w:r>
        <w:t>Aucun installateur Windows compile et qualifie ne figure dans cette archive.</w:t>
      </w:r>
    </w:p>
    <w:p>
      <w:r>
        <w:t>Auteur : 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