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v40.1 — 03-INSTALLATION</w:t>
      </w:r>
    </w:p>
    <w:p>
      <w:r>
        <w:t>Auteur : Abdelhalim Talbi</w:t>
      </w:r>
    </w:p>
    <w:p>
      <w:pPr>
        <w:pStyle w:val="Heading1"/>
      </w:pPr>
      <w:r>
        <w:t>Procédures et architecture</w:t>
      </w:r>
    </w:p>
    <w:p>
      <w:r>
        <w:t>Installer WebView2 Runtime et les binaires Windows après compilation; lancer OpenVisio; vérifier les droits sur le dossier de documents; éviter les emplacements système protégés.</w:t>
      </w:r>
    </w:p>
    <w:p>
      <w:pPr>
        <w:pStyle w:val="Heading1"/>
      </w:pPr>
      <w:r>
        <w:t>Qualification et limites</w:t>
      </w:r>
    </w:p>
    <w:p>
      <w:r>
        <w:t>Les exécutables Windows et les captures natives v40.1 ne sont pas qualifiés.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