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Guide d’installation Windows</w:t>
      </w:r>
    </w:p>
    <w:p>
      <w:r>
        <w:t>OpenVisio v40.2 — édition documentaire cumulative</w:t>
        <w:br/>
        <w:t>Auteur : Abdelhalim Talbi</w:t>
        <w:br/>
        <w:t>État : exemples fictifs identifiés ; qualification native Windows non réalisée.</w:t>
      </w:r>
    </w:p>
    <w:p>
      <w:pPr>
        <w:pStyle w:val="Heading1"/>
      </w:pPr>
      <w:r>
        <w:t>Périmètre et traçabilité</w:t>
      </w:r>
    </w:p>
    <w:p>
      <w:r>
        <w:t>Cette documentation décrit les sources disponibles dans l’archive cumulative. La version applicative demeure 40.1.0 ; la version documentaire et de packaging est 40.2.</w:t>
      </w:r>
    </w:p>
    <w:p>
      <w:pPr>
        <w:pStyle w:val="Heading1"/>
      </w:pPr>
      <w:r>
        <w:t>1. Prérequis</w:t>
      </w:r>
    </w:p>
    <w:p>
      <w:pPr/>
      <w:r>
        <w:t>Windows 10/11 compatible, runtime WebView2, droits suffisants pour installer, package portable ou installateur issu d’une compilation Windows qualifiée.</w:t>
      </w:r>
    </w:p>
    <w:p>
      <w:pPr>
        <w:pStyle w:val="Heading1"/>
      </w:pPr>
      <w:r>
        <w:t>2. Procédure</w:t>
      </w:r>
    </w:p>
    <w:p>
      <w:pPr/>
      <w:r>
        <w:t>Décompresser l’archive cumulative ; lire README.md ; ouvrir application/windows ; lancer le préflight PowerShell ; générer les binaires selon le guide compilation ; effectuer la recette sur une machine Windows.</w:t>
      </w:r>
    </w:p>
    <w:p>
      <w:pPr>
        <w:pStyle w:val="Heading1"/>
      </w:pPr>
      <w:r>
        <w:t>3. Commande préflight</w:t>
      </w:r>
    </w:p>
    <w:p>
      <w:pPr/>
      <w:r>
        <w:t>PowerShell : powershell -ExecutionPolicy Bypass -File .\windows\Preflight-Windows.ps1</w:t>
      </w:r>
    </w:p>
    <w:p>
      <w:pPr/>
      <w:r>
        <w:t>SORTIE ATTENDUE (EXEMPLE FICTIF) : PASS | .NET SDK ; PASS | WebView2 ; PASS | Inno Setup.</w:t>
      </w:r>
    </w:p>
    <w:p>
      <w:pPr>
        <w:pStyle w:val="Heading1"/>
      </w:pPr>
      <w:r>
        <w:t>4. Dépannage</w:t>
      </w:r>
    </w:p>
    <w:p>
      <w:pPr/>
      <w:r>
        <w:t>Si WebView2 manque : installer le runtime officiel. Si dotnet introuvable : installer le SDK prévu et relancer le terminal. Si l’installateur échoue : conserver journaux et code retour.</w:t>
      </w:r>
    </w:p>
    <w:p>
      <w:pPr>
        <w:pStyle w:val="Heading1"/>
      </w:pPr>
      <w:r>
        <w:t>5. Limite</w:t>
      </w:r>
    </w:p>
    <w:p>
      <w:pPr/>
      <w:r>
        <w:t>Aucun EXE Windows réellement compilé n’est livré dans cette archive de sources.</w:t>
      </w:r>
    </w:p>
    <w:p>
      <w:pPr>
        <w:pStyle w:val="Heading1"/>
      </w:pPr>
      <w:r>
        <w:t>Organigrammes et illustrations</w:t>
      </w:r>
    </w:p>
    <w:p>
      <w:r>
        <w:t>01 Parcours utilisateur</w:t>
      </w:r>
    </w:p>
    <w:p>
      <w:r>
        <w:drawing>
          <wp:inline xmlns:a="http://schemas.openxmlformats.org/drawingml/2006/main" xmlns:pic="http://schemas.openxmlformats.org/drawingml/2006/picture">
            <wp:extent cx="5212080" cy="17806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arcours-utilisateu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780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Schéma conceptuel — aucune capture d’interface réelle.</w:t>
      </w:r>
    </w:p>
    <w:p>
      <w:r>
        <w:t>02 Architecture</w:t>
      </w:r>
    </w:p>
    <w:p>
      <w:r>
        <w:drawing>
          <wp:inline xmlns:a="http://schemas.openxmlformats.org/drawingml/2006/main" xmlns:pic="http://schemas.openxmlformats.org/drawingml/2006/picture">
            <wp:extent cx="5212080" cy="17971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797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Schéma conceptuel — aucune capture d’interface réelle.</w:t>
      </w:r>
    </w:p>
    <w:p>
      <w:r>
        <w:t>03 Compilation</w:t>
      </w:r>
    </w:p>
    <w:p>
      <w:r>
        <w:drawing>
          <wp:inline xmlns:a="http://schemas.openxmlformats.org/drawingml/2006/main" xmlns:pic="http://schemas.openxmlformats.org/drawingml/2006/picture">
            <wp:extent cx="5212080" cy="17926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ompil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7926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Schéma conceptuel — aucune capture d’interface réelle.</w:t>
      </w:r>
    </w:p>
    <w:p>
      <w:r>
        <w:t>04 Sauvegarde</w:t>
      </w:r>
    </w:p>
    <w:p>
      <w:r>
        <w:drawing>
          <wp:inline xmlns:a="http://schemas.openxmlformats.org/drawingml/2006/main" xmlns:pic="http://schemas.openxmlformats.org/drawingml/2006/picture">
            <wp:extent cx="5212080" cy="17806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auvegard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780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Schéma conceptuel — aucune capture d’interface réelle.</w:t>
      </w:r>
    </w:p>
    <w:p>
      <w:r>
        <w:t>05 Qualification</w:t>
      </w:r>
    </w:p>
    <w:p>
      <w:r>
        <w:drawing>
          <wp:inline xmlns:a="http://schemas.openxmlformats.org/drawingml/2006/main" xmlns:pic="http://schemas.openxmlformats.org/drawingml/2006/picture">
            <wp:extent cx="5212080" cy="17971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Qualific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797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Schéma conceptuel — aucune capture d’interface réelle.</w:t>
      </w:r>
    </w:p>
    <w:p>
      <w:pPr>
        <w:pStyle w:val="Heading1"/>
      </w:pPr>
      <w:r>
        <w:t>Points de contrôle</w:t>
      </w:r>
    </w:p>
    <w:p>
      <w:pPr>
        <w:pStyle w:val="ListBullet"/>
      </w:pPr>
      <w:r>
        <w:t>Vérifier les chemins, scripts et prérequis avant exécution.</w:t>
      </w:r>
    </w:p>
    <w:p>
      <w:pPr>
        <w:pStyle w:val="ListBullet"/>
      </w:pPr>
      <w:r>
        <w:t>Conserver le code retour, les journaux et les résultats réellement observés.</w:t>
      </w:r>
    </w:p>
    <w:p>
      <w:pPr>
        <w:pStyle w:val="ListBullet"/>
      </w:pPr>
      <w:r>
        <w:t>Distinguer résultats attendus fictifs et résultats de qualification réels.</w:t>
      </w:r>
    </w:p>
    <w:p>
      <w:pPr>
        <w:pStyle w:val="ListBullet"/>
      </w:pPr>
      <w:r>
        <w:t>Compléter les captures sur une machine Windows avec WebView2.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OPENVISIO  |  DOCUMENTATION TECHNIQUE  |  v40.2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