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 — 03-INSTALLATION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le cache spatial sans introduire de dette historique.</w:t>
      </w:r>
    </w:p>
    <w:p>
      <w:pPr>
        <w:pStyle w:val="Heading1"/>
      </w:pPr>
      <w:r>
        <w:t>Installation</w:t>
      </w:r>
    </w:p>
    <w:p>
      <w:r>
        <w:t>Extraire le ZIP sous Windows. Consulter les scripts de compilation fournis pour produire un exécutable.</w:t>
      </w:r>
    </w:p>
    <w:p>
      <w:pPr>
        <w:pStyle w:val="Heading1"/>
      </w:pPr>
      <w:r>
        <w:t>Prérequis</w:t>
      </w:r>
    </w:p>
    <w:p>
      <w:r>
        <w:t>Les prérequis exacts dépendent de la chaîne de compilation et doivent être validés sur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