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</w:t>
      </w:r>
    </w:p>
    <w:p>
      <w:pPr>
        <w:pStyle w:val="Heading1"/>
      </w:pPr>
      <w:r>
        <w:t>Installation et prérequis</w:t>
      </w:r>
    </w:p>
    <w:p>
      <w:r>
        <w:t>Auteur : Abdelhalim Talbi | Livraison cumulative</w:t>
      </w:r>
    </w:p>
    <w:p>
      <w:pPr>
        <w:pStyle w:val="Heading2"/>
      </w:pPr>
      <w:r>
        <w:t>1. Contexte</w:t>
      </w:r>
    </w:p>
    <w:p>
      <w:r>
        <w:t>Priorité : Windows 10/11 avec WebView2. Les sources JavaScript restent consultables et testables sur Node.js.</w:t>
      </w:r>
    </w:p>
    <w:p>
      <w:pPr>
        <w:pStyle w:val="Heading2"/>
      </w:pPr>
      <w:r>
        <w:t>2. Procédure</w:t>
      </w:r>
    </w:p>
    <w:p>
      <w:r>
        <w:t>Extraire le ZIP cumulatif ; conserver les dossiers application, documentation et manifest.</w:t>
      </w:r>
    </w:p>
    <w:p>
      <w:pPr>
        <w:pStyle w:val="Heading2"/>
      </w:pPr>
      <w:r>
        <w:t>3. Validation</w:t>
      </w:r>
    </w:p>
    <w:p>
      <w:r>
        <w:t>Pour vérifier les tests depuis un environnement Node.js : cd application ; node --test tests/*.test.mjs. Résultat attendu : 1714 tests, 0 échec.</w:t>
      </w:r>
    </w:p>
    <w:p>
      <w:pPr>
        <w:pStyle w:val="Heading2"/>
      </w:pPr>
      <w:r>
        <w:t>Architecture et traçabilité</w:t>
      </w:r>
    </w:p>
    <w:p>
      <w:r>
        <w:t>Géométrie → clé de routage → cache LRU borné → copie indépendante → rendu SVG.</w:t>
      </w:r>
    </w:p>
    <w:p>
      <w:pPr>
        <w:pStyle w:val="Heading2"/>
      </w:pPr>
      <w:r>
        <w:t>Limites de qualification</w:t>
      </w:r>
    </w:p>
    <w:p>
      <w:r>
        <w:t>Tests automatisés Node.js uniquement. Aucun exécutable Windows ni capture WebView2 n’est qualifié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