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 compilation et de packaging</w:t>
      </w:r>
    </w:p>
    <w:p>
      <w:r>
        <w:t>OpenVisio v40.2 — édition documentaire cumulative</w:t>
        <w:br/>
        <w:t>Auteur : Abdelhalim Talbi</w:t>
        <w:br/>
        <w:t>État : exemples fictifs identifiés ; qualification native Windows non réalisée.</w:t>
      </w:r>
    </w:p>
    <w:p>
      <w:pPr>
        <w:pStyle w:val="Heading1"/>
      </w:pPr>
      <w:r>
        <w:t>Périmètre et traçabilité</w:t>
      </w:r>
    </w:p>
    <w:p>
      <w:r>
        <w:t>Cette documentation décrit les sources disponibles dans l’archive cumulative. La version applicative demeure 40.1.0 ; la version documentaire et de packaging est 40.2.</w:t>
      </w:r>
    </w:p>
    <w:p>
      <w:pPr>
        <w:pStyle w:val="Heading1"/>
      </w:pPr>
      <w:r>
        <w:t>1. Préflight</w:t>
      </w:r>
    </w:p>
    <w:p>
      <w:pPr/>
      <w:r>
        <w:t>Depuis application/ sous Windows : powershell -ExecutionPolicy Bypass -File .\windows\Preflight-Windows.ps1</w:t>
      </w:r>
    </w:p>
    <w:p>
      <w:pPr>
        <w:pStyle w:val="Heading1"/>
      </w:pPr>
      <w:r>
        <w:t>2. Publication .NET</w:t>
      </w:r>
    </w:p>
    <w:p>
      <w:pPr/>
      <w:r>
        <w:t>EXEMPLE DE COMMANDE À ADAPTER : dotnet publish .\windows\native\OpenVisio.csproj -c Release -r win-x64 --self-contained false</w:t>
      </w:r>
    </w:p>
    <w:p>
      <w:pPr/>
      <w:r>
        <w:t>SORTIE ATTENDUE (FICTIVE) : Build succeeded ; répertoire bin\Release\...\publish.</w:t>
      </w:r>
    </w:p>
    <w:p>
      <w:pPr>
        <w:pStyle w:val="Heading1"/>
      </w:pPr>
      <w:r>
        <w:t>3. Portable</w:t>
      </w:r>
    </w:p>
    <w:p>
      <w:pPr/>
      <w:r>
        <w:t>Exécuter .\windows\Build-Portable-Windows.ps1 après validation des prérequis ; vérifier la présence des ressources HTML, JS et CSS.</w:t>
      </w:r>
    </w:p>
    <w:p>
      <w:pPr>
        <w:pStyle w:val="Heading1"/>
      </w:pPr>
      <w:r>
        <w:t>4. Installateur</w:t>
      </w:r>
    </w:p>
    <w:p>
      <w:pPr/>
      <w:r>
        <w:t>Examiner windows/installer/OpenVisio.iss ; compiler avec Inno Setup si présent ; vérifier signature, désinstallation, lancement et mise à jour.</w:t>
      </w:r>
    </w:p>
    <w:p>
      <w:pPr>
        <w:pStyle w:val="Heading1"/>
      </w:pPr>
      <w:r>
        <w:t>5. Tests</w:t>
      </w:r>
    </w:p>
    <w:p>
      <w:pPr/>
      <w:r>
        <w:t>node --test tests/*.test.mjs ; python prepare-release.py --output OpenVisio-v40.2.zip. La publication bloque si les tests échouent.</w:t>
      </w:r>
    </w:p>
    <w:p>
      <w:pPr>
        <w:pStyle w:val="Heading1"/>
      </w:pPr>
      <w:r>
        <w:t>6. Résultats attendus</w:t>
      </w:r>
    </w:p>
    <w:p>
      <w:pPr/>
      <w:r>
        <w:t>Les exemples de console sont des sorties simulées pour documentation, pas des résultats d’exécution sur Windows.</w:t>
      </w:r>
    </w:p>
    <w:p>
      <w:pPr>
        <w:pStyle w:val="Heading1"/>
      </w:pPr>
      <w:r>
        <w:t>Organigrammes et illustrations</w:t>
      </w:r>
    </w:p>
    <w:p>
      <w:r>
        <w:t>01 Parcours utilisateur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cours-utilisat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02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03 Compilation</w:t>
      </w:r>
    </w:p>
    <w:p>
      <w:r>
        <w:drawing>
          <wp:inline xmlns:a="http://schemas.openxmlformats.org/drawingml/2006/main" xmlns:pic="http://schemas.openxmlformats.org/drawingml/2006/picture">
            <wp:extent cx="5212080" cy="179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i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04 Sauvegarde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uvegar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05 Qualification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pPr>
        <w:pStyle w:val="Heading1"/>
      </w:pPr>
      <w:r>
        <w:t>Points de contrôle</w:t>
      </w:r>
    </w:p>
    <w:p>
      <w:pPr>
        <w:pStyle w:val="ListBullet"/>
      </w:pPr>
      <w:r>
        <w:t>Vérifier les chemins, scripts et prérequis avant exécution.</w:t>
      </w:r>
    </w:p>
    <w:p>
      <w:pPr>
        <w:pStyle w:val="ListBullet"/>
      </w:pPr>
      <w:r>
        <w:t>Conserver le code retour, les journaux et les résultats réellement observés.</w:t>
      </w:r>
    </w:p>
    <w:p>
      <w:pPr>
        <w:pStyle w:val="ListBullet"/>
      </w:pPr>
      <w:r>
        <w:t>Distinguer résultats attendus fictifs et résultats de qualification réels.</w:t>
      </w:r>
    </w:p>
    <w:p>
      <w:pPr>
        <w:pStyle w:val="ListBullet"/>
      </w:pPr>
      <w:r>
        <w:t>Compléter les captures sur une machine Windows avec WebView2.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OPENVISIO  |  DOCUMENTATION TECHNIQUE  |  v40.2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