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v41.7</w:t>
      </w:r>
    </w:p>
    <w:p>
      <w:pPr>
        <w:pStyle w:val="Heading1"/>
      </w:pPr>
      <w:r>
        <w:t>Compilation et automatisation Windows</w:t>
      </w:r>
    </w:p>
    <w:p>
      <w:r>
        <w:t>Auteur : Abdelhalim Talbi | Livraison cumulative</w:t>
      </w:r>
    </w:p>
    <w:p>
      <w:pPr>
        <w:pStyle w:val="Heading2"/>
      </w:pPr>
      <w:r>
        <w:t>1. Contexte</w:t>
      </w:r>
    </w:p>
    <w:p>
      <w:r>
        <w:t>Les scripts Windows présents dans application/windows sont fournis sans prétention de compilation effective pour v41.7.</w:t>
      </w:r>
    </w:p>
    <w:p>
      <w:pPr>
        <w:pStyle w:val="Heading2"/>
      </w:pPr>
      <w:r>
        <w:t>2. Procédure</w:t>
      </w:r>
    </w:p>
    <w:p>
      <w:r>
        <w:t>Exécuter le script de compilation Windows sur une machine équipée des outils nécessaires et enregistrer le journal de build.</w:t>
      </w:r>
    </w:p>
    <w:p>
      <w:pPr>
        <w:pStyle w:val="Heading2"/>
      </w:pPr>
      <w:r>
        <w:t>3. Validation</w:t>
      </w:r>
    </w:p>
    <w:p>
      <w:r>
        <w:t>Vérifier signature, dépendances, démarrage WebView2, désinstallation et ouverture d’un document. Ne pas qualifier un EXE avant ces contrôles.</w:t>
      </w:r>
    </w:p>
    <w:p>
      <w:pPr>
        <w:pStyle w:val="Heading2"/>
      </w:pPr>
      <w:r>
        <w:t>Architecture et traçabilité</w:t>
      </w:r>
    </w:p>
    <w:p>
      <w:r>
        <w:t>Géométrie → clé de routage → cache LRU borné → copie indépendante → rendu SVG.</w:t>
      </w:r>
    </w:p>
    <w:p>
      <w:pPr>
        <w:pStyle w:val="Heading2"/>
      </w:pPr>
      <w:r>
        <w:t>Limites de qualification</w:t>
      </w:r>
    </w:p>
    <w:p>
      <w:r>
        <w:t>Tests automatisés Node.js uniquement. Aucun exécutable Windows ni capture WebView2 n’est qualifié dans cette livraison.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