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v41.1 — Audit architectural</w:t>
      </w:r>
    </w:p>
    <w:p>
      <w:r>
        <w:t>Auteur : Abdelhalim Talbi</w:t>
      </w:r>
    </w:p>
    <w:p>
      <w:pPr>
        <w:pStyle w:val="Heading1"/>
      </w:pPr>
      <w:r>
        <w:t>Périmètre réel</w:t>
      </w:r>
    </w:p>
    <w:p>
      <w:r>
        <w:t>Analyse statique de la base v41.0, sans suppression automatique. 120 modules JS directement dans src/, 120 fichiers JS au total, 172 relations d'import relatif détectées, 26 entrées script/éditeur relevées, 11 modules src/ non atteints par les imports statiques depuis ces entrées. Non atteignable ne signifie pas inutilisé : import dynamique, événements et chargement indirect restent possibles.</w:t>
      </w:r>
    </w:p>
    <w:p>
      <w:pPr>
        <w:pStyle w:val="Heading1"/>
      </w:pPr>
      <w:r>
        <w:t>Constats et décisions</w:t>
      </w:r>
    </w:p>
    <w:p>
      <w:r>
        <w:t>1. src/main.js est un point de concentration à décomposer progressivement en commandes, modèle, rendu et persistance.</w:t>
      </w:r>
    </w:p>
    <w:p>
      <w:r>
        <w:t>2. Les modules suffixés par version doivent être fusionnés dans des modules canoniques après cartographie des appels et comparaison comportementale, jamais supprimés sur leur nom seul.</w:t>
      </w:r>
    </w:p>
    <w:p>
      <w:r>
        <w:t>3. Le routage spatial doit recevoir une révision de graphe explicite et des tests différentiels avant toute optimisation du cache.</w:t>
      </w:r>
    </w:p>
    <w:p>
      <w:r>
        <w:t>4. Les styles CSS doivent être audités pour les collisions de sélecteurs et consolidés dans des composants documentés.</w:t>
      </w:r>
    </w:p>
    <w:p>
      <w:r>
        <w:t>5. Les tests historiques restent utiles comme filet de sécurité, mais peuvent être regroupés par domaine après suppression des redondances démontrées.</w:t>
      </w:r>
    </w:p>
    <w:p>
      <w:pPr>
        <w:pStyle w:val="Heading1"/>
      </w:pPr>
      <w:r>
        <w:t>Ordre d'exécution</w:t>
      </w:r>
    </w:p>
    <w:p>
      <w:r>
        <w:t>- v41.1 : cartographie et règles d'architecture (présente livraison).</w:t>
      </w:r>
    </w:p>
    <w:p>
      <w:r>
        <w:t>- v41.2 : modèle documentaire et commandes transactionnelles.</w:t>
      </w:r>
    </w:p>
    <w:p>
      <w:r>
        <w:t>- v41.3 : index spatial versionné, cache invalidé correctement.</w:t>
      </w:r>
    </w:p>
    <w:p>
      <w:r>
        <w:t>- v41.4 : moteur de placement et routage avec métriques de croisements.</w:t>
      </w:r>
    </w:p>
    <w:p>
      <w:r>
        <w:t>- v41.5 : interface simplifiée, inspection et bibliothèque consolidées.</w:t>
      </w:r>
    </w:p>
    <w:p>
      <w:r>
        <w:t>- v41.6 : interopérabilité et fidélité de conversion.</w:t>
      </w:r>
    </w:p>
    <w:p>
      <w:r>
        <w:t>- v41.7 : bibliothèque métier SAN et validation des modèles.</w:t>
      </w:r>
    </w:p>
    <w:p>
      <w:r>
        <w:t>- v41.8 : sauvegarde atomique et récupération.</w:t>
      </w:r>
    </w:p>
    <w:p>
      <w:r>
        <w:t>- v41.9 : benchmark et accessibilité.</w:t>
      </w:r>
    </w:p>
    <w:p>
      <w:r>
        <w:t>- v42.0 : Windows portable/installateur et qualification native.</w:t>
      </w:r>
    </w:p>
    <w:p>
      <w:pPr>
        <w:pStyle w:val="Heading1"/>
      </w:pPr>
      <w:r>
        <w:t>Critères de remplacement</w:t>
      </w:r>
    </w:p>
    <w:p>
      <w:r>
        <w:t>Tests fonctionnels équivalents ou meilleurs, compatibilité des documents JSON existants, comparaison de performance reproductible, aucune duplication de logique et rollback documenté.</w:t>
      </w:r>
    </w:p>
    <w:p>
      <w:pPr>
        <w:pStyle w:val="Heading1"/>
      </w:pPr>
      <w:r>
        <w:t>Limites</w:t>
      </w:r>
    </w:p>
    <w:p>
      <w:r>
        <w:t>Pas de capture Windows, pas de compilation native, pas de preuve de code mort. Les modules candidats à l'isolement sont répertoriés dans le JSON de l'audit.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