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v39.4 — Architecture détaillée</w:t>
      </w:r>
    </w:p>
    <w:p>
      <w:r>
        <w:t>Auteur : Abdelhalim Talbi</w:t>
      </w:r>
    </w:p>
    <w:p>
      <w:pPr>
        <w:pStyle w:val="Heading1"/>
      </w:pPr>
      <w:r>
        <w:t>Contexte et périmètre</w:t>
      </w:r>
    </w:p>
    <w:p>
      <w:r>
        <w:t>L hôte natif Windows WinForms héberge WebView2. Le front-end HTML/CSS/JavaScript gère le canevas, la bibliothèque, les propriétés et les analyses SAN. Les fichiers de diagramme et les exports sont produits par les modules applicatifs.</w:t>
      </w:r>
    </w:p>
    <w:p>
      <w:pPr>
        <w:pStyle w:val="Heading1"/>
      </w:pPr>
      <w:r>
        <w:t>Procédure et fonctionnement</w:t>
      </w:r>
    </w:p>
    <w:p>
      <w:r>
        <w:t>Flux utilisateur : commande -&gt; contrôleur UI -&gt; modèle du diagramme -&gt; rendu et validation -&gt; persistance/export. Flux release : tests -&gt; validation docs -&gt; hachage -&gt; ZIP -&gt; contrôle du contenu ZIP.</w:t>
      </w:r>
    </w:p>
    <w:p>
      <w:pPr>
        <w:pStyle w:val="Heading1"/>
      </w:pPr>
      <w:r>
        <w:t>Qualification et limites</w:t>
      </w:r>
    </w:p>
    <w:p>
      <w:r>
        <w:t>Base applicative v39.1.0, packaging v39.4.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