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v40.1 — 05-ARCHITECTURE</w:t>
      </w:r>
    </w:p>
    <w:p>
      <w:r>
        <w:t>Auteur : Abdelhalim Talbi</w:t>
      </w:r>
    </w:p>
    <w:p>
      <w:pPr>
        <w:pStyle w:val="Heading1"/>
      </w:pPr>
      <w:r>
        <w:t>Procédures et architecture</w:t>
      </w:r>
    </w:p>
    <w:p>
      <w:r>
        <w:t>Interface HTML/JavaScript dans WebView2, hôte WinForms .NET, modèle graphe et export JSON. La nouvelle sauvegarde utilise showSaveFilePicker/createWritable/write/close et n’acquitte le document qu’après close réussi. Fallback export par téléchargement non confirmé.</w:t>
      </w:r>
    </w:p>
    <w:p>
      <w:pPr>
        <w:pStyle w:val="Heading1"/>
      </w:pPr>
      <w:r>
        <w:t>Qualification et limites</w:t>
      </w:r>
    </w:p>
    <w:p>
      <w:r>
        <w:t>Les exécutables Windows et les captures natives v40.1 ne sont pas qualifiés.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