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05-ARCHITECTURE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Architecture : UI main.js -&gt; recovery-integrity-v403.js -&gt; Web Crypto SHA-256 -&gt; téléchargement JSON.</w:t>
      </w:r>
    </w:p>
    <w:p>
      <w:pPr>
        <w:pStyle w:val="Heading2"/>
      </w:pPr>
      <w:r>
        <w:t>2. Procédure et limites</w:t>
      </w:r>
    </w:p>
    <w:p>
      <w:r>
        <w:t>Import : File API -&gt; limite de taille -&gt; parse JSON -&gt; verifyRecoveryRecord -&gt; restore(graph) -&gt; validateZones -&gt; validateSanImport -&gt; confirmation utilisateur -&gt; application de l’état.</w:t>
      </w:r>
    </w:p>
    <w:p>
      <w:pPr>
        <w:pStyle w:val="Heading2"/>
      </w:pPr>
      <w:r>
        <w:t>3. Procédure et limites</w:t>
      </w:r>
    </w:p>
    <w:p>
      <w:r>
        <w:t>Les sauvegardes exportées sont distinctes du stockage local et leur téléchargement ne garantit pas la persistance sur disque.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