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05-ARCHITECTURE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Contrat createRouteStore</w:t>
      </w:r>
    </w:p>
    <w:p>
      <w:r>
        <w:t>La Map interne est privée. Les mutations set/delete/clear/replace mettent à jour une révision monotone.</w:t>
      </w:r>
    </w:p>
    <w:p>
      <w:pPr>
        <w:pStyle w:val="Heading1"/>
      </w:pPr>
      <w:r>
        <w:t>Cohérence</w:t>
      </w:r>
    </w:p>
    <w:p>
      <w:r>
        <w:t>index(cache) fournit la même identité de Map et la même révision pour les lectures successives; une mutation force une reconstruction.</w:t>
      </w:r>
    </w:p>
    <w:p>
      <w:pPr>
        <w:pStyle w:val="Heading1"/>
      </w:pPr>
      <w:r>
        <w:t>Limites</w:t>
      </w:r>
    </w:p>
    <w:p>
      <w:r>
        <w:t>Les valeurs route elles-mêmes ne sont pas clonées profondément; les consommateurs doivent traiter les objets route comme immuables. Le remplacement du pipeline existant requiert un audit des écritures directes.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