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v41.6 — Architecture et contrat</w:t>
      </w:r>
    </w:p>
    <w:p>
      <w:r>
        <w:t>Auteur : Abdelhalim Talbi</w:t>
      </w:r>
    </w:p>
    <w:p>
      <w:pPr>
        <w:pStyle w:val="Heading1"/>
      </w:pPr>
      <w:r>
        <w:t>Objectif</w:t>
      </w:r>
    </w:p>
    <w:p>
      <w:r>
        <w:t>Entrée : copie profonde structuredClone. Stockage : Map privée et compteur de révision. Sortie : get et snapshot retournent des copies indépendantes. Index : reçoit la Map privée et la révision.</w:t>
      </w:r>
    </w:p>
    <w:p>
      <w:pPr>
        <w:pStyle w:val="Heading1"/>
      </w:pPr>
      <w:r>
        <w:t>Fonctionnement et limites</w:t>
      </w:r>
    </w:p>
    <w:p>
      <w:r>
        <w:t>Limite : les mutations directes des routes hors du magasin, dans le reste du moteur de rendu, ne sont pas encore migrées. Le recalcul conservateur reste requis.</w:t>
      </w:r>
    </w:p>
    <w:p>
      <w:pPr>
        <w:pStyle w:val="Heading1"/>
      </w:pPr>
      <w:r>
        <w:t>Architecture de principe</w:t>
      </w:r>
    </w:p>
    <w:p>
      <w:r>
        <w:t>Client → API de copie → magasin privé de routes → cache indexé par révision.</w:t>
      </w:r>
    </w:p>
    <w:p>
      <w:pPr>
        <w:pStyle w:val="Heading1"/>
      </w:pPr>
      <w:r>
        <w:t>Qualification</w:t>
      </w:r>
    </w:p>
    <w:p>
      <w:r>
        <w:t>Commande : node --test tests/*.test.mjs. Résultat attendu : code retour 0 et zéro échec.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