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v41.7</w:t>
      </w:r>
    </w:p>
    <w:p>
      <w:pPr>
        <w:pStyle w:val="Heading1"/>
      </w:pPr>
      <w:r>
        <w:t>Architecture du cache canonique</w:t>
      </w:r>
    </w:p>
    <w:p>
      <w:r>
        <w:t>Auteur : Abdelhalim Talbi | Livraison cumulative</w:t>
      </w:r>
    </w:p>
    <w:p>
      <w:pPr>
        <w:pStyle w:val="Heading2"/>
      </w:pPr>
      <w:r>
        <w:t>1. Contexte</w:t>
      </w:r>
    </w:p>
    <w:p>
      <w:r>
        <w:t>Pipeline : signature géométrique -&gt; recherche cache LRU -&gt; calcul route -&gt; copie profonde -&gt; entrée cache -&gt; copie profonde -&gt; rendu SVG.</w:t>
      </w:r>
    </w:p>
    <w:p>
      <w:pPr>
        <w:pStyle w:val="Heading2"/>
      </w:pPr>
      <w:r>
        <w:t>2. Procédure</w:t>
      </w:r>
    </w:p>
    <w:p>
      <w:r>
        <w:t>Le cache a une capacité maximale de 500 entrées. À saturation, il élimine l’entrée la moins récemment utilisée, sans purger toutes les autres.</w:t>
      </w:r>
    </w:p>
    <w:p>
      <w:pPr>
        <w:pStyle w:val="Heading2"/>
      </w:pPr>
      <w:r>
        <w:t>3. Validation</w:t>
      </w:r>
    </w:p>
    <w:p>
      <w:r>
        <w:t>Le magasin de routes transactionnel v41.6 reste indépendant. La migration globale des routes et le cache spatial à révision demeurent des travaux ultérieurs.</w:t>
      </w:r>
    </w:p>
    <w:p>
      <w:pPr>
        <w:pStyle w:val="Heading2"/>
      </w:pPr>
      <w:r>
        <w:t>Architecture et traçabilité</w:t>
      </w:r>
    </w:p>
    <w:p>
      <w:r>
        <w:t>Géométrie → clé de routage → cache LRU borné → copie indépendante → rendu SVG.</w:t>
      </w:r>
    </w:p>
    <w:p>
      <w:pPr>
        <w:pStyle w:val="Heading2"/>
      </w:pPr>
      <w:r>
        <w:t>Limites de qualification</w:t>
      </w:r>
    </w:p>
    <w:p>
      <w:r>
        <w:t>Tests automatisés Node.js uniquement. Aucun exécutable Windows ni capture WebView2 n’est qualifié dans cette livraison.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