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v41.2 — Consolidation documentaire</w:t>
      </w:r>
    </w:p>
    <w:p>
      <w:r>
        <w:t>Auteur : Abdelhalim Talbi | Documentation propre à la v41.2</w:t>
      </w:r>
    </w:p>
    <w:p>
      <w:pPr>
        <w:pStyle w:val="Heading1"/>
      </w:pPr>
      <w:r>
        <w:t>Objectif</w:t>
      </w:r>
    </w:p>
    <w:p>
      <w:r>
        <w:t>Remplacer progressivement les mutations dispersées par un noyau documentaire cohérent, sans rompre la compatibilité.</w:t>
      </w:r>
    </w:p>
    <w:p>
      <w:pPr>
        <w:pStyle w:val="Heading1"/>
      </w:pPr>
      <w:r>
        <w:t>Audit</w:t>
      </w:r>
    </w:p>
    <w:p>
      <w:r>
        <w:t>main.js conserve un état mutable. Le gestionnaire historique publiait des états par Object.assign, sans suppression des propriétés devenues obsolètes.</w:t>
      </w:r>
    </w:p>
    <w:p>
      <w:pPr>
        <w:pStyle w:val="Heading1"/>
      </w:pPr>
      <w:r>
        <w:t>Implémentation</w:t>
      </w:r>
    </w:p>
    <w:p>
      <w:r>
        <w:t>document-transaction.js ajoute applyDocumentTransaction pour produire un brouillon isolé et validé, et commitDocumentState pour publier un remplacement. history-transaction.js utilise désormais commitDocumentState.</w:t>
      </w:r>
    </w:p>
    <w:p>
      <w:pPr>
        <w:pStyle w:val="Heading1"/>
      </w:pPr>
      <w:r>
        <w:t>Parcours</w:t>
      </w:r>
    </w:p>
    <w:p>
      <w:r>
        <w:t>État courant → copie indépendante → mutation du brouillon → validation → publication explicite. En cas de rejet ou d’exception, le document d’origine reste inchangé.</w:t>
      </w:r>
    </w:p>
    <w:p>
      <w:pPr>
        <w:pStyle w:val="Heading1"/>
      </w:pPr>
      <w:r>
        <w:t>Commande CLI</w:t>
      </w:r>
    </w:p>
    <w:p>
      <w:r>
        <w:t>cd application</w:t>
        <w:br/>
        <w:t>node --test tests/document-transaction-v412.test.mjs</w:t>
        <w:br/>
        <w:t>node --test tests/*.test.mjs</w:t>
      </w:r>
    </w:p>
    <w:p>
      <w:pPr>
        <w:pStyle w:val="Heading1"/>
      </w:pPr>
      <w:r>
        <w:t>Résultats observés</w:t>
      </w:r>
    </w:p>
    <w:p>
      <w:r>
        <w:t>Exécution réelle Node.js : 1691 tests réussis, 0 échec. Les cinq nouveaux tests portent sur isolation, rejet, exception, suppression des anciennes clés et validation des types.</w:t>
      </w:r>
    </w:p>
    <w:p>
      <w:pPr>
        <w:pStyle w:val="Heading1"/>
      </w:pPr>
      <w:r>
        <w:t>Limitations</w:t>
      </w:r>
    </w:p>
    <w:p>
      <w:r>
        <w:t>Refonte partielle. Les effets annexes sur localStorage et les autres mutations directes ne sont pas transactionnels. Pas de compilation Windows ni de capture réelle WebView2.</w:t>
      </w:r>
    </w:p>
    <w:p>
      <w:pPr>
        <w:pStyle w:val="Heading1"/>
      </w:pPr>
      <w:r>
        <w:t>Prochaines étapes</w:t>
      </w:r>
    </w:p>
    <w:p>
      <w:r>
        <w:t>Migrer les commandes d’édition par famille, centraliser l’état enregistré, mesurer les performances et qualifier la sauvegarde native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