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v39.4 — Recette et qualité</w:t>
      </w:r>
    </w:p>
    <w:p>
      <w:r>
        <w:t>Auteur : Abdelhalim Talbi</w:t>
      </w:r>
    </w:p>
    <w:p>
      <w:pPr>
        <w:pStyle w:val="Heading1"/>
      </w:pPr>
      <w:r>
        <w:t>Contexte et périmètre</w:t>
      </w:r>
    </w:p>
    <w:p>
      <w:r>
        <w:t>Exécuter node --test tests/*.test.mjs depuis application/. Exécuter python prepare-release.py --output &lt;archive&gt; depuis la racine. Le pipeline vérifie les formats Word/PDF, les versions et les empreintes SHA256.</w:t>
      </w:r>
    </w:p>
    <w:p>
      <w:pPr>
        <w:pStyle w:val="Heading1"/>
      </w:pPr>
      <w:r>
        <w:t>Procédure et fonctionnement</w:t>
      </w:r>
    </w:p>
    <w:p>
      <w:r>
        <w:t>La recette Windows doit encore couvrir lancement WebView2, création, édition, sauvegarde, réouverture, impression/export, topologies SAN et désinstallation. Les tests Node.js ne constituent pas une qualification graphique.</w:t>
      </w:r>
    </w:p>
    <w:p>
      <w:pPr>
        <w:pStyle w:val="Heading1"/>
      </w:pPr>
      <w:r>
        <w:t>Qualification et limites</w:t>
      </w:r>
    </w:p>
    <w:p>
      <w:r>
        <w:t>Base applicative v39.1.0, packaging v39.4.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