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v40.3 — Plan de tests et critères</w:t>
      </w:r>
    </w:p>
    <w:p>
      <w:r>
        <w:t>Auteur : Abdelhalim Talbi</w:t>
      </w:r>
    </w:p>
    <w:p>
      <w:pPr>
        <w:pStyle w:val="Heading1"/>
      </w:pPr>
      <w:r>
        <w:t>Objet</w:t>
      </w:r>
    </w:p>
    <w:p>
      <w:r>
        <w:t>Cas positifs: créer et vérifier un snapshot. Cas négatifs: altérer le payload, modifier le hash, injecter une structure invalide, dépasser la rétention. Critères: rejeter la corruption avant restauration; conserver l’original en cas d’erreur. Tests Windows WebView2 à exécuter séparément.</w:t>
      </w:r>
    </w:p>
    <w:p>
      <w:pPr>
        <w:pStyle w:val="Heading1"/>
      </w:pPr>
      <w:r>
        <w:t>Organigramme conceptuel</w:t>
      </w:r>
    </w:p>
    <w:p>
      <w:pPr>
        <w:pStyle w:val="ListBullet"/>
      </w:pPr>
      <w:r>
        <w:t>Entrée : diagramme JSON</w:t>
      </w:r>
    </w:p>
    <w:p>
      <w:pPr>
        <w:pStyle w:val="ListBullet"/>
      </w:pPr>
      <w:r>
        <w:t>Création de snapshot SHA256</w:t>
      </w:r>
    </w:p>
    <w:p>
      <w:pPr>
        <w:pStyle w:val="ListBullet"/>
      </w:pPr>
      <w:r>
        <w:t>Conservation explicite par l’appelant</w:t>
      </w:r>
    </w:p>
    <w:p>
      <w:pPr>
        <w:pStyle w:val="ListBullet"/>
      </w:pPr>
      <w:r>
        <w:t>Vérification de l’empreinte</w:t>
      </w:r>
    </w:p>
    <w:p>
      <w:pPr>
        <w:pStyle w:val="ListBullet"/>
      </w:pPr>
      <w:r>
        <w:t>Restauration contrôlée après validation</w:t>
      </w:r>
    </w:p>
    <w:p>
      <w:pPr>
        <w:pStyle w:val="Heading1"/>
      </w:pPr>
      <w:r>
        <w:t>Limites de qualification</w:t>
      </w:r>
    </w:p>
    <w:p>
      <w:r>
        <w:t>Schéma et commandes illustratifs. Aucune capture Windows native ni compilation d’EXE réalisée dans cet environnement.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