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v40.5 — 06-QUALIFICATION</w:t>
      </w:r>
    </w:p>
    <w:p>
      <w:r>
        <w:t>Auteur : Abdelhalim Talbi</w:t>
      </w:r>
    </w:p>
    <w:p>
      <w:pPr>
        <w:pStyle w:val="Heading2"/>
      </w:pPr>
      <w:r>
        <w:t>1. Procédure et limites</w:t>
      </w:r>
    </w:p>
    <w:p>
      <w:r>
        <w:t>Scénarios : export valide, import valide, altération de charge utile, annulation de confirmation, dépassement de 25 Mio, échec Web Crypto.</w:t>
      </w:r>
    </w:p>
    <w:p>
      <w:pPr>
        <w:pStyle w:val="Heading2"/>
      </w:pPr>
      <w:r>
        <w:t>2. Procédure et limites</w:t>
      </w:r>
    </w:p>
    <w:p>
      <w:r>
        <w:t>Qualification native WebView2, fermeture/reprise, import de gros fichiers et accessibilité : non exécutés.</w:t>
      </w:r>
    </w:p>
    <w:p>
      <w:r>
        <w:t>Preuves réelles : qualification Windows et captures natives non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