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 — 06-QUALIFICATION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Fiabiliser le cache spatial sans introduire de dette historique.</w:t>
      </w:r>
    </w:p>
    <w:p>
      <w:pPr>
        <w:pStyle w:val="Heading1"/>
      </w:pPr>
      <w:r>
        <w:t>Tests</w:t>
      </w:r>
    </w:p>
    <w:p>
      <w:r>
        <w:t>Cas couverts : hit sans mutation, invalidation après mutation, copie isolée, opérations sans effet, remplacement atomique.</w:t>
      </w:r>
    </w:p>
    <w:p>
      <w:pPr>
        <w:pStyle w:val="Heading1"/>
      </w:pPr>
      <w:r>
        <w:t>Commande</w:t>
      </w:r>
    </w:p>
    <w:p>
      <w:r>
        <w:t>node --test tests/*.test.mjs</w:t>
      </w:r>
    </w:p>
    <w:p>
      <w:pPr>
        <w:pStyle w:val="Heading1"/>
      </w:pPr>
      <w:r>
        <w:t>Prudence</w:t>
      </w:r>
    </w:p>
    <w:p>
      <w:r>
        <w:t>Les benchmarks Windows et l’intégration complète du magasin de routes ne sont pas qualifiés.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