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v41.6 — Plan de tests et risques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Cas couverts : mutation des références initiales, mutation après set, mutation des résultats get et snapshot, rejet atomique d’un replace non clonable, conservation de la validité du cache.</w:t>
      </w:r>
    </w:p>
    <w:p>
      <w:pPr>
        <w:pStyle w:val="Heading1"/>
      </w:pPr>
      <w:r>
        <w:t>Fonctionnement et limites</w:t>
      </w:r>
    </w:p>
    <w:p>
      <w:r>
        <w:t>Risque résiduel : compatibilité des objets métier non clonables et intégration avec toutes les commandes de l’éditeur. La recette visuelle WebView2 reste à faire.</w:t>
      </w:r>
    </w:p>
    <w:p>
      <w:pPr>
        <w:pStyle w:val="Heading1"/>
      </w:pPr>
      <w:r>
        <w:t>Architecture de principe</w:t>
      </w:r>
    </w:p>
    <w:p>
      <w:r>
        <w:t>Client → API de copie → magasin privé de routes → cache indexé par révision.</w:t>
      </w:r>
    </w:p>
    <w:p>
      <w:pPr>
        <w:pStyle w:val="Heading1"/>
      </w:pPr>
      <w:r>
        <w:t>Qualification</w:t>
      </w:r>
    </w:p>
    <w:p>
      <w:r>
        <w:t>Commande : node --test tests/*.test.mjs. Résultat attendu : code retour 0 et zéro échec.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