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v41.7</w:t>
      </w:r>
    </w:p>
    <w:p>
      <w:pPr>
        <w:pStyle w:val="Heading1"/>
      </w:pPr>
      <w:r>
        <w:t>Plan de tests et limites</w:t>
      </w:r>
    </w:p>
    <w:p>
      <w:r>
        <w:t>Auteur : Abdelhalim Talbi | Livraison cumulative</w:t>
      </w:r>
    </w:p>
    <w:p>
      <w:pPr>
        <w:pStyle w:val="Heading2"/>
      </w:pPr>
      <w:r>
        <w:t>1. Contexte</w:t>
      </w:r>
    </w:p>
    <w:p>
      <w:r>
        <w:t>Test réel : node --test tests/*.test.mjs ; résultat obtenu : 1714 réussites, 0 échec.</w:t>
      </w:r>
    </w:p>
    <w:p>
      <w:pPr>
        <w:pStyle w:val="Heading2"/>
      </w:pPr>
      <w:r>
        <w:t>2. Procédure</w:t>
      </w:r>
    </w:p>
    <w:p>
      <w:r>
        <w:t>Nouveaux tests : isolation en entrée/sortie, éviction LRU, atomicité si clonage impossible, validation des clés et capacité sous 1000 écritures.</w:t>
      </w:r>
    </w:p>
    <w:p>
      <w:pPr>
        <w:pStyle w:val="Heading2"/>
      </w:pPr>
      <w:r>
        <w:t>3. Validation</w:t>
      </w:r>
    </w:p>
    <w:p>
      <w:r>
        <w:t>Qualification restante : benchmark sur 100/500/1000 formes, comparaison des tracés, profil mémoire et recette WebView2 Windows.</w:t>
      </w:r>
    </w:p>
    <w:p>
      <w:pPr>
        <w:pStyle w:val="Heading2"/>
      </w:pPr>
      <w:r>
        <w:t>Architecture et traçabilité</w:t>
      </w:r>
    </w:p>
    <w:p>
      <w:r>
        <w:t>Géométrie → clé de routage → cache LRU borné → copie indépendante → rendu SVG.</w:t>
      </w:r>
    </w:p>
    <w:p>
      <w:pPr>
        <w:pStyle w:val="Heading2"/>
      </w:pPr>
      <w:r>
        <w:t>Limites de qualification</w:t>
      </w:r>
    </w:p>
    <w:p>
      <w:r>
        <w:t>Tests automatisés Node.js uniquement. Aucun exécutable Windows ni capture WebView2 n’est qualifié dans cette livraison.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