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v41.8 — 06 QUALIFICATION</w:t>
      </w:r>
    </w:p>
    <w:p>
      <w:r>
        <w:t>Auteur : Abdelhalim Talbi | Version cumulative v41.8</w:t>
      </w:r>
    </w:p>
    <w:p>
      <w:pPr>
        <w:pStyle w:val="Heading2"/>
      </w:pPr>
      <w:r>
        <w:t xml:space="preserve">1. Exécuter </w:t>
      </w:r>
    </w:p>
    <w:p>
      <w:r>
        <w:t>Exécuter : cd application &amp;&amp; node --test tests/*.test.mjs</w:t>
      </w:r>
    </w:p>
    <w:p>
      <w:pPr>
        <w:pStyle w:val="Heading2"/>
      </w:pPr>
      <w:r>
        <w:t xml:space="preserve">2. Exécuter </w:t>
      </w:r>
    </w:p>
    <w:p>
      <w:r>
        <w:t>Exécuter : node scripts/benchmark-route-cache-v418.mjs</w:t>
      </w:r>
    </w:p>
    <w:p>
      <w:pPr>
        <w:pStyle w:val="Heading2"/>
      </w:pPr>
      <w:r>
        <w:t>3. Le benchmark mesure remplissage, lectures répétées et invalidatio</w:t>
      </w:r>
    </w:p>
    <w:p>
      <w:r>
        <w:t>Le benchmark mesure remplissage, lectures répétées et invalidation de 50 % des clés sur 100, 500 et 1 000 routes.</w:t>
      </w:r>
    </w:p>
    <w:p>
      <w:pPr>
        <w:pStyle w:val="Heading2"/>
      </w:pPr>
      <w:r>
        <w:t xml:space="preserve">4. Mesures synthétiques Node.js </w:t>
      </w:r>
    </w:p>
    <w:p>
      <w:r>
        <w:t>Mesures synthétiques Node.js : ni FPS ni latence du rendu WebView2. Répéter et comparer sur machine identique avant toute conclusion.</w:t>
      </w:r>
    </w:p>
    <w:p>
      <w:pPr>
        <w:pStyle w:val="Heading2"/>
      </w:pPr>
      <w:r>
        <w:t>Limites de qualification</w:t>
      </w:r>
    </w:p>
    <w:p>
      <w:r>
        <w:t>Pas de compilation native Windows ni de captures UI réelles dans cette livraison. Tests Node.js et mesures synthétiques uniquement.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