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v41.22 — Qualification du rendu SVG</w:t>
      </w:r>
    </w:p>
    <w:p>
      <w:r>
        <w:t>Auteur : Abdelhalim Talbi</w:t>
      </w:r>
    </w:p>
    <w:p>
      <w:pPr>
        <w:pStyle w:val="Heading1"/>
      </w:pPr>
      <w:r>
        <w:t>Périmètre</w:t>
      </w:r>
    </w:p>
    <w:p>
      <w:r>
        <w:t>Version construite depuis le ZIP v41.21. Ajout de quatre tests du DOM SVG simulé : rendu répété, déplacement et undo/redo, suppression/restauration de câble, diagnostics du cache.</w:t>
      </w:r>
    </w:p>
    <w:p>
      <w:pPr>
        <w:pStyle w:val="Heading1"/>
      </w:pPr>
      <w:r>
        <w:t>Résultats</w:t>
      </w:r>
    </w:p>
    <w:p>
      <w:r>
        <w:t>Suite Node.js : 1 759 tests réussis sur 1 759. Tests spécifiques v41.22 : 4 sur 4.</w:t>
      </w:r>
    </w:p>
    <w:p>
      <w:pPr>
        <w:pStyle w:val="Heading1"/>
      </w:pPr>
      <w:r>
        <w:t>Limites de qualification</w:t>
      </w:r>
    </w:p>
    <w:p>
      <w:r>
        <w:t>Les tests utilisent un DOM JavaScript simulé : aucune preuve de fluidité Windows, de paint réel, de performance des obstacles complexes ou de qualité visuelle. Le benchmark SVG historique a été lancé, mais aucun résultat exploitable n’a été obtenu dans le délai disponible.</w:t>
      </w:r>
    </w:p>
    <w:p>
      <w:pPr>
        <w:pStyle w:val="Heading1"/>
      </w:pPr>
      <w:r>
        <w:t>Reproduction</w:t>
      </w:r>
    </w:p>
    <w:p>
      <w:r>
        <w:t>Depuis application : node --test tests/*.test.mjs ; node --test tests/svg-render-v4122.test.mjs</w:t>
      </w:r>
    </w:p>
    <w:p>
      <w:pPr>
        <w:pStyle w:val="Heading1"/>
      </w:pPr>
      <w:r>
        <w:t>Prochaines étapes</w:t>
      </w:r>
    </w:p>
    <w:p>
      <w:r>
        <w:t>Exécuter une campagne navigateur automatisée sur les vrais diagrammes SAN, avec captures réelles, mesures de latence et comparaison des géométries.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