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v41.7</w:t>
      </w:r>
    </w:p>
    <w:p>
      <w:pPr>
        <w:pStyle w:val="Heading1"/>
      </w:pPr>
      <w:r>
        <w:t>État des captures et illustrations</w:t>
      </w:r>
    </w:p>
    <w:p>
      <w:r>
        <w:t>Auteur : Abdelhalim Talbi | Livraison cumulative</w:t>
      </w:r>
    </w:p>
    <w:p>
      <w:pPr>
        <w:pStyle w:val="Heading2"/>
      </w:pPr>
      <w:r>
        <w:t>1. Contexte</w:t>
      </w:r>
    </w:p>
    <w:p>
      <w:r>
        <w:t>Captures Windows/WebView2 réelles : non disponibles. Aucune capture fictive n’est substituée.</w:t>
      </w:r>
    </w:p>
    <w:p>
      <w:pPr>
        <w:pStyle w:val="Heading2"/>
      </w:pPr>
      <w:r>
        <w:t>2. Procédure</w:t>
      </w:r>
    </w:p>
    <w:p>
      <w:r>
        <w:t>Diagramme de principe (illustration conceptuelle, non capture) : Géométrie -&gt; clé -&gt; cache LRU -&gt; route isolée -&gt; SVG.</w:t>
      </w:r>
    </w:p>
    <w:p>
      <w:pPr>
        <w:pStyle w:val="Heading2"/>
      </w:pPr>
      <w:r>
        <w:t>3. Validation</w:t>
      </w:r>
    </w:p>
    <w:p>
      <w:r>
        <w:t>Exemple fictif de sortie de test : tests 1714, pass 1714, fail 0. Le total correspond à une exécution réelle Node.js ; l’exemple est illustratif.</w:t>
      </w:r>
    </w:p>
    <w:p>
      <w:pPr>
        <w:pStyle w:val="Heading2"/>
      </w:pPr>
      <w:r>
        <w:t>Architecture et traçabilité</w:t>
      </w:r>
    </w:p>
    <w:p>
      <w:r>
        <w:t>Géométrie → clé de routage → cache LRU borné → copie indépendante → rendu SVG.</w:t>
      </w:r>
    </w:p>
    <w:p>
      <w:pPr>
        <w:pStyle w:val="Heading2"/>
      </w:pPr>
      <w:r>
        <w:t>Limites de qualification</w:t>
      </w:r>
    </w:p>
    <w:p>
      <w:r>
        <w:t>Tests automatisés Node.js uniquement. Aucun exécutable Windows ni capture WebView2 n’est qualifié dans cette livraison.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