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v6.11 — Guide complet</w:t>
      </w:r>
    </w:p>
    <w:p>
      <w:r>
        <w:t>Auteur : Abdelhalim Talbi | 17 octobre 2026</w:t>
      </w:r>
    </w:p>
    <w:p>
      <w:pPr>
        <w:pStyle w:val="Heading1"/>
      </w:pPr>
      <w:r>
        <w:t>Vue d’ensemble</w:t>
      </w:r>
    </w:p>
    <w:p>
      <w:r>
        <w:t>StorageScope est une application locale Python/Tkinter. Cette livraison est un prototype compagnon et ne remplace pas une qualification de la suite complète.</w:t>
      </w:r>
    </w:p>
    <w:p>
      <w:pPr>
        <w:pStyle w:val="Heading1"/>
      </w:pPr>
      <w:r>
        <w:t>Nouveautés v6.10</w:t>
      </w:r>
    </w:p>
    <w:p>
      <w:r>
        <w:t>Espacement compact des pages lorsque la résolution est inférieure à 1280 × 720 sur un axe. Hauteur des lignes adaptée, raccourci de recherche toujours fonctionnel.</w:t>
      </w:r>
    </w:p>
    <w:p>
      <w:pPr>
        <w:pStyle w:val="Heading1"/>
      </w:pPr>
      <w:r>
        <w:t>Utilisation</w:t>
      </w:r>
    </w:p>
    <w:p>
      <w:r>
        <w:t>Accueil : synthèse et accès rapides. Gouvernance : recherche, filtres, fiches, qualification et comité. Campagnes : historique. Diagnostic : santé locale. Maintenance : sauvegardes et vérification.</w:t>
      </w:r>
    </w:p>
    <w:p>
      <w:pPr>
        <w:pStyle w:val="Heading1"/>
      </w:pPr>
      <w:r>
        <w:t>Compilation Windows</w:t>
      </w:r>
    </w:p>
    <w:p>
      <w:r>
        <w:t>Installer Python compatible, dépendances du projet, PyInstaller et Inno Setup. Lancer build-all-windows.cmd depuis 02-Compilation-Windows, après avoir placé les sources selon les chemins du projet. Vérifier les journaux, le manifeste, StorageScope.exe et le Setup.</w:t>
      </w:r>
    </w:p>
    <w:p>
      <w:pPr>
        <w:pStyle w:val="Heading1"/>
      </w:pPr>
      <w:r>
        <w:t>Installation</w:t>
      </w:r>
    </w:p>
    <w:p>
      <w:r>
        <w:t>Sur Windows, tester le setup généré dans une VM. Sauvegarder les données locales, vérifier la signature et le hachage, installer puis tester les cinq pages et la désinstallation.</w:t>
      </w:r>
    </w:p>
    <w:p>
      <w:pPr>
        <w:pStyle w:val="Heading1"/>
      </w:pPr>
      <w:r>
        <w:t>Architecture détaillée</w:t>
      </w:r>
    </w:p>
    <w:p>
      <w:r>
        <w:t>Interface Tkinter -&gt; navigation PageController -&gt; modules de gouvernance et campagnes -&gt; SQLite local; stockage des préférences en JSON; sauvegarde avec empreintes SHA256.</w:t>
      </w:r>
    </w:p>
    <w:p>
      <w:pPr>
        <w:pStyle w:val="Heading1"/>
      </w:pPr>
      <w:r>
        <w:t>Organigramme de fonctionnement</w:t>
      </w:r>
    </w:p>
    <w:p>
      <w:r>
        <w:t>Démarrage -&gt; préférences -&gt; fenêtre -&gt; navigation -&gt; chargement paresseux -&gt; consultation -&gt; éventuelle validation humaine -&gt; écriture auditée -&gt; sauvegarde.</w:t>
      </w:r>
    </w:p>
    <w:p>
      <w:pPr>
        <w:pStyle w:val="Heading1"/>
      </w:pPr>
      <w:r>
        <w:t>Recette graphique Windows</w:t>
      </w:r>
    </w:p>
    <w:p>
      <w:r>
        <w:t>Tester 1024x768, 1280x720, 1920x1080, 150% et 200% de mise à l’échelle. Vérifier barres de défilement, clavier, focus, boutons, tableaux, dialogues et impression des messages.</w:t>
      </w:r>
    </w:p>
    <w:p>
      <w:pPr>
        <w:pStyle w:val="Heading1"/>
      </w:pPr>
      <w:r>
        <w:t>Limites et captures</w:t>
      </w:r>
    </w:p>
    <w:p>
      <w:r>
        <w:t>Aucune capture réelle Windows v6.10, aucune compilation native Windows. Les visuels historiques sont conservés uniquement à titre d’illustration. Les tests Python sous Linux ne valident pas le rendu Windows.</w:t>
      </w:r>
    </w:p>
    <w:p>
      <w:r>
        <w:br w:type="page"/>
      </w:r>
    </w:p>
    <w:p>
      <w:pPr>
        <w:pStyle w:val="Heading1"/>
      </w:pPr>
      <w:r>
        <w:t>Version 6.11 — Cycle de vie SQLite et qualification</w:t>
      </w:r>
    </w:p>
    <w:p>
      <w:pPr>
        <w:pStyle w:val="Heading2"/>
      </w:pPr>
      <w:r>
        <w:t>Objectif</w:t>
      </w:r>
    </w:p>
    <w:p>
      <w:r>
        <w:t>Sécuriser la fermeture des connexions du registre historique Governance sans changer le schéma de données, les règles de gouvernance ni le contenu des journaux audités.</w:t>
      </w:r>
    </w:p>
    <w:p>
      <w:pPr>
        <w:pStyle w:val="Heading2"/>
      </w:pPr>
      <w:r>
        <w:t>Modification du registre</w:t>
      </w:r>
    </w:p>
    <w:p>
      <w:r>
        <w:t>La connexion ouverte dans Governance.__init__ est explicitement fermée si une exception survient pendant les PRAGMA, la création des tables, la création des index ou le commit. La fermeture n’intervient pas sur une initialisation réussie.</w:t>
      </w:r>
    </w:p>
    <w:p>
      <w:pPr>
        <w:pStyle w:val="Heading2"/>
      </w:pPr>
      <w:r>
        <w:t>Usage recommandé</w:t>
      </w:r>
    </w:p>
    <w:p>
      <w:r>
        <w:t>with Governance(chemin_sqlite) as registre : utiliser les opérations de gouvernance à l’intérieur du bloc. À la sortie, la connexion est fermée, même en cas d’exception. Pour les appelants historiques, close() reste disponible.</w:t>
      </w:r>
    </w:p>
    <w:p>
      <w:pPr>
        <w:pStyle w:val="Heading2"/>
      </w:pPr>
      <w:r>
        <w:t>Limites et compatibilité</w:t>
      </w:r>
    </w:p>
    <w:p>
      <w:r>
        <w:t>Le contexte Governance ne réalise pas de transaction globale automatique : chaque opération d’écriture continue d’utiliser son propre mécanisme transactionnel. L’application principale possède d’autres registres SQLite et leur cycle de vie doit être vérifié séparément.</w:t>
      </w:r>
    </w:p>
    <w:p>
      <w:pPr>
        <w:pStyle w:val="Heading2"/>
      </w:pPr>
      <w:r>
        <w:t>Tests et qualification</w:t>
      </w:r>
    </w:p>
    <w:p>
      <w:r>
        <w:t>936 tests unitaires réussis sous Linux, dont quatre nouveaux tests du cycle de vie SQLite. Précontrôle de cohérence des scripts Windows : PASS. Aucune compilation Windows ni recette d’installation graphique réalisée.</w:t>
      </w:r>
    </w:p>
    <w:p>
      <w:pPr>
        <w:pStyle w:val="Heading2"/>
      </w:pPr>
      <w:r>
        <w:t>Captures des interfaces</w:t>
      </w:r>
    </w:p>
    <w:p>
      <w:r>
        <w:t>Les cinq illustrations Accueil, Gouvernance, Campagnes, Diagnostic et Maintenance proviennent du package précédent et ne constituent pas des captures réelles de Windows v6.11. Aucune capture réelle nouvelle n’a été effectuée.</w:t>
      </w:r>
    </w:p>
    <w:p>
      <w:pPr>
        <w:pStyle w:val="Heading2"/>
      </w:pPr>
      <w:r>
        <w:t>Compilation Windows</w:t>
      </w:r>
    </w:p>
    <w:p>
      <w:r>
        <w:t>Depuis le ZIP décompressé, exécuter 02-Compilation-Windows\Construire-StorageScope.cmd. Le script rassemble sources et outils dans _build-windows, puis appelle build-all-windows.ps1. Une machine Windows équipée des prérequis et des accès nécessaires est indispensable. Vérifier les journaux et artefacts avant diffusion.</w:t>
      </w:r>
    </w:p>
    <w:p>
      <w:pPr>
        <w:pStyle w:val="Heading2"/>
      </w:pPr>
      <w:r>
        <w:t>Parcours utilisateur</w:t>
      </w:r>
    </w:p>
    <w:p>
      <w:r>
        <w:t>Accueil → Gouvernance → création ou revue des décisions → qualification des preuves → décision en comité → consultation de l’audit. Campagnes, Diagnostic et Maintenance restent accessibles depuis la navigation principale.</w:t>
      </w:r>
    </w:p>
    <w:p>
      <w:pPr>
        <w:pStyle w:val="Heading2"/>
      </w:pPr>
      <w:r>
        <w:t>Architecture et organigramme</w:t>
      </w:r>
    </w:p>
    <w:p>
      <w:r>
        <w:t>Tkinter / navigation → contrôleurs métier → Governance (SQLite) → transactions et journal d’audit. Initialisation SQL : ouverture → configuration → schéma/index → commit ; en cas d’échec : close puis remontée de l’erreur ; en cas de succès : opérations → close explicite ou sortie de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