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v6.13 — Manuel cumulatif</w:t>
      </w:r>
    </w:p>
    <w:p>
      <w:r>
        <w:t>Auteur : Abdelhalim Talbi | Édition Windows prioritaire | Qualification Linux</w:t>
      </w:r>
    </w:p>
    <w:p>
      <w:pPr>
        <w:pStyle w:val="Heading1"/>
      </w:pPr>
      <w:r>
        <w:t>1. Présentation</w:t>
      </w:r>
    </w:p>
    <w:p>
      <w:r>
        <w:t>StorageScope regroupe l’analyse infrastructure, la gouvernance des décisions, les campagnes, les diagnostics et la maintenance. Cette livraison cumule les sources et les outils de construction Windows.</w:t>
      </w:r>
    </w:p>
    <w:p>
      <w:pPr>
        <w:pStyle w:val="Heading1"/>
      </w:pPr>
      <w:r>
        <w:t>2. Nouveautés v6.13</w:t>
      </w:r>
    </w:p>
    <w:p>
      <w:r>
        <w:t>Le tableau de bord en lecture seule ferme explicitement ses connexions SQLite. Les connexions des registres de décisions et de campagnes sont refermées si le PRAGMA busy_timeout échoue. Aucun changement de schéma ou de politique métier.</w:t>
      </w:r>
    </w:p>
    <w:p>
      <w:pPr>
        <w:pStyle w:val="Heading1"/>
      </w:pPr>
      <w:r>
        <w:t>3. Installation Windows</w:t>
      </w:r>
    </w:p>
    <w:p>
      <w:r>
        <w:t>Décompresser le ZIP. Consulter 01-Application/DEMARRAGE.md. Exécuter les scripts du dossier 02-Compilation-Windows depuis une session Windows disposant de Python et des dépendances documentées. Le binaire et l’installateur n’ont pas été compilés dans cet environnement Linux.</w:t>
      </w:r>
    </w:p>
    <w:p>
      <w:pPr>
        <w:pStyle w:val="Heading1"/>
      </w:pPr>
      <w:r>
        <w:t>4. Compilation Windows</w:t>
      </w:r>
    </w:p>
    <w:p>
      <w:r>
        <w:t>Lancer Construire-StorageScope.cmd (si présent dans 02-Compilation-Windows) ou suivre build-all-windows.ps1. Le script prépare les dépendances PyInstaller et Inno Setup selon la configuration du poste. Contrôler les codes de retour, l’existence des binaires et leurs empreintes avant toute distribution.</w:t>
      </w:r>
    </w:p>
    <w:p>
      <w:pPr>
        <w:pStyle w:val="Heading1"/>
      </w:pPr>
      <w:r>
        <w:t>5. Utilisation</w:t>
      </w:r>
    </w:p>
    <w:p>
      <w:r>
        <w:t>Ouvrir Accueil pour les tâches fréquentes, Gouvernance pour les décisions et preuves, Campagnes pour les historiques, Diagnostic pour les contrôles et Maintenance pour les opérations. Les formulaires conservent les saisies en cas d’erreur et signalent les champs invalides.</w:t>
      </w:r>
    </w:p>
    <w:p>
      <w:pPr>
        <w:pStyle w:val="Heading1"/>
      </w:pPr>
      <w:r>
        <w:t>6. Architecture</w:t>
      </w:r>
    </w:p>
    <w:p>
      <w:r>
        <w:t>Interface Tkinter -&gt; contrôleurs et vues -&gt; services de gouvernance / campagnes -&gt; SQLite transactionnel. Les rapports de synthèse lisent les bases en mode read-only. Les écritures utilisent les registres audités et les transitions humaines contrôlées.</w:t>
      </w:r>
    </w:p>
    <w:p>
      <w:pPr>
        <w:pStyle w:val="Heading1"/>
      </w:pPr>
      <w:r>
        <w:t>7. Cycle de vie SQLite v6.13</w:t>
      </w:r>
    </w:p>
    <w:p>
      <w:r>
        <w:t>Ouverture -&gt; PRAGMA -&gt; transaction ou lecture -&gt; commit/rollback -&gt; close. Si PRAGMA échoue, close immédiat puis propagation de l’exception. Les lectures du dashboard sont fermées avec contextlib.closing, contrairement au simple contexte sqlite3.connect qui ne ferme pas la connexion.</w:t>
      </w:r>
    </w:p>
    <w:p>
      <w:pPr>
        <w:pStyle w:val="Heading1"/>
      </w:pPr>
      <w:r>
        <w:t>8. Tests et qualification</w:t>
      </w:r>
    </w:p>
    <w:p>
      <w:r>
        <w:t>944 tests Python ont réussi sous Linux. Les quatre nouveaux tests couvrent l’échec PRAGMA des deux registres, la fermeture effective du tableau de bord et l’absence de création d’une base manquante. Les scénarios Windows d’installation, DPI et accessibilité restent à exécuter.</w:t>
      </w:r>
    </w:p>
    <w:p>
      <w:pPr>
        <w:pStyle w:val="Heading1"/>
      </w:pPr>
      <w:r>
        <w:t>9. Captures et limites</w:t>
      </w:r>
    </w:p>
    <w:p>
      <w:r>
        <w:t>Les cinq illustrations historiques livrées ne sont pas des captures réelles v6.13. Aucune capture Windows v6.13 n’a été produite. Ne pas interpréter le précontrôle statique comme une qualification d’installateur.</w:t>
      </w:r>
    </w:p>
    <w:p>
      <w:pPr>
        <w:pStyle w:val="Heading1"/>
      </w:pPr>
      <w:r>
        <w:t>10. Sécurité et exploitation</w:t>
      </w:r>
    </w:p>
    <w:p>
      <w:r>
        <w:t>Sauvegarder les bases avant une mise à jour, conserver les manifestes SHA256, vérifier les journaux de qualification et appliquer le principe du moindre privilège. Les décisions humaines ne sont jamais activées automatiquement.</w:t>
      </w:r>
    </w:p>
    <w:p>
      <w:pPr>
        <w:pStyle w:val="Heading1"/>
      </w:pPr>
      <w:r>
        <w:t>Organigramme fonctionnel</w:t>
      </w:r>
    </w:p>
    <w:p>
      <w:pPr>
        <w:pStyle w:val="ListBullet"/>
      </w:pPr>
      <w:r>
        <w:t>Utilisateur Windows → Interface → Choix de module</w:t>
      </w:r>
    </w:p>
    <w:p>
      <w:pPr>
        <w:pStyle w:val="ListBullet"/>
      </w:pPr>
      <w:r>
        <w:t>Gouvernance / Campagnes → validation des champs → registre audité</w:t>
      </w:r>
    </w:p>
    <w:p>
      <w:pPr>
        <w:pStyle w:val="ListBullet"/>
      </w:pPr>
      <w:r>
        <w:t>Lecture dashboard → ouverture SQLite read-only → extraction → fermeture</w:t>
      </w:r>
    </w:p>
    <w:p>
      <w:pPr>
        <w:pStyle w:val="ListBullet"/>
      </w:pPr>
      <w:r>
        <w:t>Écriture → BEGIN IMMEDIATE → contrôles → commit ou rollback → fermeture</w:t>
      </w:r>
    </w:p>
    <w:p>
      <w:pPr>
        <w:pStyle w:val="ListBullet"/>
      </w:pPr>
      <w:r>
        <w:t>Erreur d’initialisation → fermeture immédiate → signalement à l’utilisateur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