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v6.21 — Registre de revue transactionnel</w:t>
      </w:r>
    </w:p>
    <w:p>
      <w:pPr>
        <w:pStyle w:val="Heading1"/>
      </w:pPr>
      <w:r>
        <w:t>Architecture</w:t>
      </w:r>
    </w:p>
    <w:p>
      <w:r>
        <w:t>Inventaire JSON → moteur de qualité v6.18 → réconciliation v6.19 → rapport v6.20 → revue SQLite v6.21. La décision n’effectue jamais de fusion ni de modification des inventaires.</w:t>
      </w:r>
    </w:p>
    <w:p>
      <w:pPr>
        <w:pStyle w:val="Heading1"/>
      </w:pPr>
      <w:r>
        <w:t>Installation</w:t>
      </w:r>
    </w:p>
    <w:p>
      <w:r>
        <w:t>Python 3, bibliothèque standard sqlite3. Aucune dépendance externe pour le registre. Exécuter sous Windows avec py -3 ou sous Linux avec python3.</w:t>
      </w:r>
    </w:p>
    <w:p>
      <w:pPr>
        <w:pStyle w:val="Heading1"/>
      </w:pPr>
      <w:r>
        <w:t>Utilisation CLI</w:t>
      </w:r>
    </w:p>
    <w:p>
      <w:r>
        <w:t>python 03-Sources/review_registry_v621.py gouvernance.json --db decisions.sqlite --list</w:t>
      </w:r>
    </w:p>
    <w:p>
      <w:r>
        <w:t>python 03-Sources/review_registry_v621.py gouvernance.json --db decisions.sqlite --key CLE_SHA256 --status APPROVED --reviewer operateur --reason verification</w:t>
      </w:r>
    </w:p>
    <w:p>
      <w:pPr>
        <w:pStyle w:val="Heading1"/>
      </w:pPr>
      <w:r>
        <w:t>Résultats attendus — simulation</w:t>
      </w:r>
    </w:p>
    <w:p>
      <w:r>
        <w:t>La première commande retourne des candidats et leurs clés SHA256. La seconde écrit une décision dans decisions et une trace dans events ; inventory_changed=false. Exemple fictif, non exécuté sur Windows.</w:t>
      </w:r>
    </w:p>
    <w:p>
      <w:pPr>
        <w:pStyle w:val="Heading1"/>
      </w:pPr>
      <w:r>
        <w:t>Sécurité et limites</w:t>
      </w:r>
    </w:p>
    <w:p>
      <w:r>
        <w:t>Décisions immuables pour une clé, revue obligatoire et raison obligatoire. Le registre n’a pas d’authentification intégrée ni de signature cryptographique des événements. L’identité fondée sur indices est instable si le rapport est réordonné : ne pas réutiliser une clé entre rapports. Pas d’intégration native UI, pas de fusion, pas de recette Windows.</w:t>
      </w:r>
    </w:p>
    <w:p>
      <w:pPr>
        <w:pStyle w:val="Heading1"/>
      </w:pPr>
      <w:r>
        <w:t>Tests et qualification</w:t>
      </w:r>
    </w:p>
    <w:p>
      <w:r>
        <w:t>5 nouveaux tests du registre réussis ; 9 tests ciblés v6.20/v6.21 réussis sous Linux. Ne pas interpréter comme qualification complète. Captures UI Windows réelles indisponibles.</w:t>
      </w:r>
    </w:p>
    <w:p>
      <w:pPr>
        <w:pStyle w:val="Heading1"/>
      </w:pPr>
      <w:r>
        <w:t>Prochaine étape</w:t>
      </w:r>
    </w:p>
    <w:p>
      <w:r>
        <w:t>Introduire des identifiants de candidat indépendants de l’ordre, versionner le jeu de données, ajouter journal append-only chaîné, authentification des réviseurs, et intégration Windows Gouvernance.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