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v6.57 — Gouvernance et performances</w:t>
      </w:r>
    </w:p>
    <w:p>
      <w:r>
        <w:t>Auteur : Abdelhalim Talbi | Qualification Linux ciblée | 17 octobre 2026</w:t>
      </w:r>
    </w:p>
    <w:p>
      <w:pPr>
        <w:pStyle w:val="Heading1"/>
      </w:pPr>
      <w:r>
        <w:t>Objectif</w:t>
      </w:r>
    </w:p>
    <w:p>
      <w:r>
        <w:t>Accélérer la navigation sur les grands inventaires sans introduire un deuxième moteur de recherche. L’application reste Windows-first ; les mesures ci-dessous ont été réalisées sous Linux.</w:t>
      </w:r>
    </w:p>
    <w:p>
      <w:pPr>
        <w:pStyle w:val="Heading1"/>
      </w:pPr>
      <w:r>
        <w:t>Architecture</w:t>
      </w:r>
    </w:p>
    <w:p>
      <w:r>
        <w:t>Inventaire JSON → analyse de rapprochement → propositions stables → recherche multicritère → résultats mis en cache pour la pagination → revue humaine → registre SQLite audité. Les contradictions d’identité restent bloquantes.</w:t>
      </w:r>
    </w:p>
    <w:p>
      <w:pPr>
        <w:pStyle w:val="Heading1"/>
      </w:pPr>
      <w:r>
        <w:t>Modifications</w:t>
      </w:r>
    </w:p>
    <w:p>
      <w:r>
        <w:t>Le chemin sans recherche retourne les propositions avec leurs indices d’origine, sans sérialiser leurs contenus. Le filtrage par statut évite également la sérialisation JSON. Les recherches ciblées asset:, key:, status: ne sérialisent pas la proposition entière. Les résultats filtrés sont réutilisés pour les pages suivantes, puis recalculés quand le filtre ou l’inventaire change.</w:t>
      </w:r>
    </w:p>
    <w:p>
      <w:pPr>
        <w:pStyle w:val="Heading1"/>
      </w:pPr>
      <w:r>
        <w:t>Méthode de qualification</w:t>
      </w:r>
    </w:p>
    <w:p>
      <w:r>
        <w:t>40 tests unitaires ciblés v6.50–v6.57 réussis. Un benchmark synthétique unique sur 10 000 et 100 000 propositions mesure le temps de filtrage Python avec perf_counter. Ce test ne constitue ni une mesure statistique reproductible ni un test graphique Windows.</w:t>
      </w:r>
    </w:p>
    <w:p>
      <w:pPr>
        <w:pStyle w:val="Heading1"/>
      </w:pPr>
      <w:r>
        <w:t>Sécurité et limites</w:t>
      </w:r>
    </w:p>
    <w:p>
      <w:r>
        <w:t>Aucune approbation automatique. Identifiants stables conservés. La chaîne d’audit SHA-256 est vérifiée avant consultation, mais n’est pas ancrée à un tiers. Build Windows, installation et recette graphique non exécutés.</w:t>
      </w:r>
    </w:p>
    <w:p>
      <w:pPr>
        <w:pStyle w:val="Heading1"/>
      </w:pPr>
      <w:r>
        <w:t>Exemple fictif clairement identifié</w:t>
      </w:r>
    </w:p>
    <w:p>
      <w:r>
        <w:t>Simulation illustrative, non issue d’une capture réelle : une proposition NetApp est filtrée par asset:netapp, examinée par un réviseur, puis rejetée avec une justification. Une contradiction d’identité interdit toute approbation.</w:t>
      </w:r>
    </w:p>
    <w:p>
      <w:pPr>
        <w:pStyle w:val="Heading1"/>
      </w:pPr>
      <w:r>
        <w:t>Benchmark synthétique — une exécution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Propositions</w:t>
            </w:r>
          </w:p>
        </w:tc>
        <w:tc>
          <w:tcPr>
            <w:tcW w:type="dxa" w:w="2160"/>
          </w:tcPr>
          <w:p>
            <w:r>
              <w:t>Requête</w:t>
            </w:r>
          </w:p>
        </w:tc>
        <w:tc>
          <w:tcPr>
            <w:tcW w:type="dxa" w:w="2160"/>
          </w:tcPr>
          <w:p>
            <w:r>
              <w:t>Correspondances</w:t>
            </w:r>
          </w:p>
        </w:tc>
        <w:tc>
          <w:tcPr>
            <w:tcW w:type="dxa" w:w="2160"/>
          </w:tcPr>
          <w:p>
            <w:r>
              <w:t>Durée (ms)</w:t>
            </w:r>
          </w:p>
        </w:tc>
      </w:tr>
      <w:tr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(vide)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</w:tr>
      <w:tr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statut bloqué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asset:netapp-999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10.83</w:t>
            </w:r>
          </w:p>
        </w:tc>
      </w:tr>
      <w:tr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site 4</w:t>
            </w:r>
          </w:p>
        </w:tc>
        <w:tc>
          <w:tcPr>
            <w:tcW w:type="dxa" w:w="2160"/>
          </w:tcPr>
          <w:p>
            <w:r>
              <w:t>3439</w:t>
            </w:r>
          </w:p>
        </w:tc>
        <w:tc>
          <w:tcPr>
            <w:tcW w:type="dxa" w:w="2160"/>
          </w:tcPr>
          <w:p>
            <w:r>
              <w:t>36.54</w:t>
            </w:r>
          </w:p>
        </w:tc>
      </w:tr>
      <w:tr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(vide)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15.93</w:t>
            </w:r>
          </w:p>
        </w:tc>
      </w:tr>
      <w:tr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statut bloqué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13.91</w:t>
            </w:r>
          </w:p>
        </w:tc>
      </w:tr>
      <w:tr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asset:netapp-999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127.78</w:t>
            </w:r>
          </w:p>
        </w:tc>
      </w:tr>
      <w:tr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site 4</w:t>
            </w:r>
          </w:p>
        </w:tc>
        <w:tc>
          <w:tcPr>
            <w:tcW w:type="dxa" w:w="2160"/>
          </w:tcPr>
          <w:p>
            <w:r>
              <w:t>40951</w:t>
            </w:r>
          </w:p>
        </w:tc>
        <w:tc>
          <w:tcPr>
            <w:tcW w:type="dxa" w:w="2160"/>
          </w:tcPr>
          <w:p>
            <w:r>
              <w:t>380.9</w:t>
            </w:r>
          </w:p>
        </w:tc>
      </w:tr>
    </w:tbl>
    <w:p>
      <w:r>
        <w:t>Aucune capture réelle Windows n’est disponible. Les illustrations décrites sont des exemples, non des captures de l’application.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StorageScope | Dossier technique v6.57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