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v6.24 — Architecture et qualification</w:t>
      </w:r>
    </w:p>
    <w:p>
      <w:r>
        <w:t>Auteur : Abdelhalim Talbi</w:t>
      </w:r>
    </w:p>
    <w:p>
      <w:r>
        <w:t>Périmètre : intégration du moteur qualité/réconciliation avec identités stables de validation.</w:t>
      </w:r>
    </w:p>
    <w:p>
      <w:pPr>
        <w:pStyle w:val="Heading2"/>
      </w:pPr>
      <w:r>
        <w:t xml:space="preserve">Flux </w:t>
      </w:r>
    </w:p>
    <w:p>
      <w:r>
        <w:t>Flux : inventaire JSON → qualité + rapprochements → résolution des IDs → candidats éligibles → registre de validation (appel séparé).</w:t>
      </w:r>
    </w:p>
    <w:p>
      <w:r>
        <w:t>La logique métier reste non destructive. Aucun rapprochement n’est appliqué automatiquement.</w:t>
      </w:r>
    </w:p>
    <w:p>
      <w:r>
        <w:t>Un candidat sans identifiants stables distincts est bloqué. Les preuves de rapprochement restent explicites.</w:t>
      </w:r>
    </w:p>
    <w:p>
      <w:r>
        <w:t>Tests nouveaux : six tests unitaires réussis sous Linux.</w:t>
      </w:r>
    </w:p>
    <w:p>
      <w:pPr>
        <w:pStyle w:val="Heading2"/>
      </w:pPr>
      <w:r>
        <w:t xml:space="preserve">Limites </w:t>
      </w:r>
    </w:p>
    <w:p>
      <w:r>
        <w:t>Limites : pas de recette globale, pas de benchmark de performance, pas de compilation Windows, pas de capture UI réelle.</w:t>
      </w:r>
    </w:p>
    <w:p>
      <w:pPr>
        <w:pStyle w:val="Heading2"/>
      </w:pPr>
      <w:r>
        <w:t>Les anciens modules sont conservés tant que leurs consommateurs ne sont pas migrés.</w:t>
      </w:r>
    </w:p>
    <w:p>
      <w:r>
        <w:t>Les anciens modules sont conservés tant que leurs consommateurs ne sont pas migrés.</w:t>
      </w:r>
    </w:p>
    <w:p>
      <w:r>
        <w:t>Prochaines étapes : API unifiée, adaptation du rapport HTML, registre transactionnel et tests end-to-end.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