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v6.25 — Stockage transactionnel</w:t>
      </w:r>
    </w:p>
    <w:p>
      <w:r>
        <w:t>Auteur : Abdelhalim Talbi | 17 octobre 2026</w:t>
      </w:r>
    </w:p>
    <w:p>
      <w:pPr>
        <w:pStyle w:val="Heading1"/>
      </w:pPr>
      <w:r>
        <w:t>Portée</w:t>
      </w:r>
    </w:p>
    <w:p>
      <w:r>
        <w:t>Ajout d’un module SQLite autonome pour conserver des instantanés immuables d’inventaire. Les données existantes et le registre de validation v6.22 ne sont pas migrés.</w:t>
      </w:r>
    </w:p>
    <w:p>
      <w:pPr>
        <w:pStyle w:val="Heading1"/>
      </w:pPr>
      <w:r>
        <w:t>Architecture</w:t>
      </w:r>
    </w:p>
    <w:p>
      <w:r>
        <w:t>Entrée liste JSON → validation des identifiants → représentation canonique → empreinte SHA-256 → transaction SQLite (snapshots + snapshot_items) → vérification à la lecture.</w:t>
      </w:r>
    </w:p>
    <w:p>
      <w:pPr>
        <w:pStyle w:val="Heading1"/>
      </w:pPr>
      <w:r>
        <w:t>Sécurité et résilience</w:t>
      </w:r>
    </w:p>
    <w:p>
      <w:r>
        <w:t>WAL, foreign_keys=ON, synchronous=FULL, BEGIN IMMEDIATE, migrations par PRAGMA user_version, refus des schémas futurs. Aucune suppression automatique. Les empreintes dans la même base ne protègent pas contre un attaquant capable de remplacer toute la base.</w:t>
      </w:r>
    </w:p>
    <w:p>
      <w:pPr>
        <w:pStyle w:val="Heading1"/>
      </w:pPr>
      <w:r>
        <w:t>Exemple fictif</w:t>
      </w:r>
    </w:p>
    <w:p>
      <w:r>
        <w:t>save_snapshot("inventory.db", [{"id":"array-01"}]) renvoie une empreinte SHA-256 de 64 caractères ; load_snapshot(db, empreinte) restitue la liste.</w:t>
      </w:r>
    </w:p>
    <w:p>
      <w:pPr>
        <w:pStyle w:val="Heading1"/>
      </w:pPr>
      <w:r>
        <w:t>Qualification</w:t>
      </w:r>
    </w:p>
    <w:p>
      <w:r>
        <w:t>8 tests unitaires ciblés exécutés sous Linux et réussis. Compilation native Windows, tests E2E et captures d’écran réelles non réalisés.</w:t>
      </w:r>
    </w:p>
    <w:p>
      <w:pPr>
        <w:pStyle w:val="Heading1"/>
      </w:pPr>
      <w:r>
        <w:t>Limites et suite</w:t>
      </w:r>
    </w:p>
    <w:p>
      <w:r>
        <w:t>Le module est autonome : aucune intégration UI/API, aucune sauvegarde planifiée, aucune réconciliation automatique. Prochaine étape : intégration progressive et tests de concurrence multi-processus.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