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v6.52 — Gouvernance</w:t>
      </w:r>
    </w:p>
    <w:p>
      <w:r>
        <w:t>Note technique et guide de qualification</w:t>
      </w:r>
    </w:p>
    <w:p>
      <w:pPr>
        <w:pStyle w:val="Heading1"/>
      </w:pPr>
      <w:r>
        <w:t>Objectif</w:t>
      </w:r>
    </w:p>
    <w:p>
      <w:r>
        <w:t>Fluidifier la revue des inventaires volumineux sans modifier les règles de décision ni masquer les conflits.</w:t>
      </w:r>
    </w:p>
    <w:p>
      <w:pPr>
        <w:pStyle w:val="Heading1"/>
      </w:pPr>
      <w:r>
        <w:t>Architecture</w:t>
      </w:r>
    </w:p>
    <w:p>
      <w:r>
        <w:t>Inventaire JSON → analyse de rapprochement → candidats stables → filtrage multicritère → pagination → revue humaine → registre SQLite et audit.</w:t>
      </w:r>
    </w:p>
    <w:p>
      <w:pPr>
        <w:pStyle w:val="Heading1"/>
      </w:pPr>
      <w:r>
        <w:t>Ergonomie</w:t>
      </w:r>
    </w:p>
    <w:p>
      <w:r>
        <w:t>Le filtre est appliqué 180 ms après la dernière frappe. La page revient à 1 après changement de filtre. La plage visible est annoncée (par exemple 101–200 sur 251). Les listes longues sont abrégées uniquement dans la cellule du tableau ; la fiche de détail conserve la donnée complète.</w:t>
      </w:r>
    </w:p>
    <w:p>
      <w:pPr>
        <w:pStyle w:val="Heading1"/>
      </w:pPr>
      <w:r>
        <w:t>Sécurité</w:t>
      </w:r>
    </w:p>
    <w:p>
      <w:r>
        <w:t>Aucune approbation automatique. Les candidats BLOCKED_CONTRADICTION restent visibles et non actionnables. La clé de revue conserve son index d’origine après filtrage.</w:t>
      </w:r>
    </w:p>
    <w:p>
      <w:pPr>
        <w:pStyle w:val="Heading1"/>
      </w:pPr>
      <w:r>
        <w:t>Qualification</w:t>
      </w:r>
    </w:p>
    <w:p>
      <w:r>
        <w:t>Sept tests unitaires ciblés v6.52 exécutés sur Linux. Compilation, installation et tests graphiques Windows non exécutés. Aucun écran présenté comme capture réelle.</w:t>
      </w:r>
    </w:p>
    <w:p>
      <w:pPr>
        <w:pStyle w:val="Heading1"/>
      </w:pPr>
      <w:r>
        <w:t>Exemple fictif</w:t>
      </w:r>
    </w:p>
    <w:p>
      <w:r>
        <w:t>Exemple illustratif non exécuté : une recherche asset:netapp status:review_required affiche 101–200 sur 251 après navigation vers la deuxième page.</w:t>
      </w:r>
    </w:p>
    <w:p>
      <w:pPr>
        <w:pStyle w:val="Heading1"/>
      </w:pPr>
      <w:r>
        <w:t>Auteur</w:t>
      </w:r>
    </w:p>
    <w:p>
      <w:r>
        <w:t>Abdelhalim Talbi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