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v6.55 — Historique contextualisé</w:t>
      </w:r>
    </w:p>
    <w:p>
      <w:r>
        <w:t>Auteur : Abdelhalim Talbi</w:t>
      </w:r>
    </w:p>
    <w:p>
      <w:pPr>
        <w:pStyle w:val="Heading1"/>
      </w:pPr>
      <w:r>
        <w:t>Objet et périmètre</w:t>
      </w:r>
    </w:p>
    <w:p>
      <w:r>
        <w:t>La console Gouvernance affiche désormais les décisions liées à la proposition sélectionnée, en utilisant la clé complète du candidat et non son libellé tronqué. Sans sélection, elle affiche les dernières décisions globales.</w:t>
      </w:r>
    </w:p>
    <w:p>
      <w:pPr>
        <w:pStyle w:val="Heading1"/>
      </w:pPr>
      <w:r>
        <w:t>Architecture</w:t>
      </w:r>
    </w:p>
    <w:p>
      <w:r>
        <w:t>Inventaire JSON → évaluation des identités → propositions → sélection UI → clé stable → lecture SQLite seule → vérification intégrale de la chaîne SHA-256 → historique filtré (100 lignes maximum par défaut).</w:t>
      </w:r>
    </w:p>
    <w:p>
      <w:pPr>
        <w:pStyle w:val="Heading1"/>
      </w:pPr>
      <w:r>
        <w:t>Contrôles de sécurité</w:t>
      </w:r>
    </w:p>
    <w:p>
      <w:r>
        <w:t>Le registre est vérifié avant consultation ; la lecture SQLite est ouverte en mode read-only. Les contradictions restent non approuvables. Aucun rapprochement automatique n’est effectué.</w:t>
      </w:r>
    </w:p>
    <w:p>
      <w:pPr>
        <w:pStyle w:val="Heading1"/>
      </w:pPr>
      <w:r>
        <w:t>Exemple fictif — non exécuté</w:t>
      </w:r>
    </w:p>
    <w:p>
      <w:r>
        <w:t>Sélection de la proposition « array-01 / port-2 » puis clic sur « Historique (sélection) » : affichage des décisions associées à sa clé complète. Cet exemple est une illustration, pas une capture réelle.</w:t>
      </w:r>
    </w:p>
    <w:p>
      <w:pPr>
        <w:pStyle w:val="Heading1"/>
      </w:pPr>
      <w:r>
        <w:t>Qualification et limites</w:t>
      </w:r>
    </w:p>
    <w:p>
      <w:r>
        <w:t>Tests unitaires exécutés sous Linux ; la compilation Windows, l’installation et la recette graphique native ne sont pas exécutées. La chaîne SHA-256 locale ne remplace pas un ancrage externe.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