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v6.58</w:t>
      </w:r>
    </w:p>
    <w:p>
      <w:r>
        <w:t>Optimisation du filtrage Gouvernance — Abdelhalim Talbi</w:t>
      </w:r>
    </w:p>
    <w:p>
      <w:pPr>
        <w:pStyle w:val="Heading1"/>
      </w:pPr>
      <w:r>
        <w:t>Objectif</w:t>
      </w:r>
    </w:p>
    <w:p>
      <w:r>
        <w:t>Réduire les allocations et la sérialisation lors des recherches multicritères dans des inventaires de 10 000 à 100 000 propositions.</w:t>
      </w:r>
    </w:p>
    <w:p>
      <w:pPr>
        <w:pStyle w:val="Heading1"/>
      </w:pPr>
      <w:r>
        <w:t>Architecture</w:t>
      </w:r>
    </w:p>
    <w:p>
      <w:r>
        <w:t>Interface Tkinter → parse_search → compilation des critères → filtrage statut / clé → filtrage équipement → sérialisation JSON seulement si une recherche générale reste nécessaire → pagination.</w:t>
      </w:r>
    </w:p>
    <w:p>
      <w:pPr>
        <w:pStyle w:val="Heading1"/>
      </w:pPr>
      <w:r>
        <w:t>Comportement</w:t>
      </w:r>
    </w:p>
    <w:p>
      <w:r>
        <w:t>Les critères key:, status: et asset: sont combinés en ET. Les termes libres continuent de rechercher dans le candidat complet. Les indices d’origine sont conservés.</w:t>
      </w:r>
    </w:p>
    <w:p>
      <w:pPr>
        <w:pStyle w:val="Heading1"/>
      </w:pPr>
      <w:r>
        <w:t>Sécurité</w:t>
      </w:r>
    </w:p>
    <w:p>
      <w:r>
        <w:t>Les contradictions restent bloquantes. Aucune approbation automatique ni modification des données source. L’historique reste en lecture seule avec vérification SHA-256.</w:t>
      </w:r>
    </w:p>
    <w:p>
      <w:pPr>
        <w:pStyle w:val="Heading1"/>
      </w:pPr>
      <w:r>
        <w:t>Qualification</w:t>
      </w:r>
    </w:p>
    <w:p>
      <w:r>
        <w:t>45 tests Gouvernance ciblés exécutés sous Linux et réussis. Compilation native Windows, installateur, fluidité Tkinter et validation visuelle non exécutés.</w:t>
      </w:r>
    </w:p>
    <w:p>
      <w:pPr>
        <w:pStyle w:val="Heading1"/>
      </w:pPr>
      <w:r>
        <w:t>Exemple fictif — non exécuté</w:t>
      </w:r>
    </w:p>
    <w:p>
      <w:r>
        <w:t>Inventaire synthétique : asset:netapp status:blocked site Paris. Les critères qualifiés éliminent les non-correspondances avant sérialisation du champ note.</w:t>
      </w:r>
    </w:p>
    <w:p>
      <w:pPr>
        <w:pStyle w:val="Heading1"/>
      </w:pPr>
      <w:r>
        <w:t>Prochaine étape</w:t>
      </w:r>
    </w:p>
    <w:p>
      <w:r>
        <w:t>Mesurer séparément temps de filtrage, coût de reconstruction Treeview et latence des interactions sous Windows; prioriser les goulets d’étranglement mesurés.</w:t>
      </w:r>
    </w:p>
    <w:p>
      <w:pPr>
        <w:pStyle w:val="Heading1"/>
      </w:pPr>
      <w:r>
        <w:t>Organigramme de filtrage</w:t>
      </w:r>
    </w:p>
    <w:p>
      <w:r>
        <w:t>Requête utilisateur</w:t>
      </w:r>
    </w:p>
    <w:p>
      <w:r>
        <w:t>↓ Analyse unique des termes</w:t>
      </w:r>
    </w:p>
    <w:p>
      <w:r>
        <w:t>↓ Filtre statut et clé</w:t>
      </w:r>
    </w:p>
    <w:p>
      <w:r>
        <w:t>↓ Filtre équipement</w:t>
      </w:r>
    </w:p>
    <w:p>
      <w:r>
        <w:t>↓ Sérialisation JSON si nécessaire</w:t>
      </w:r>
    </w:p>
    <w:p>
      <w:r>
        <w:t>↓ Résultats et pagination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