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v6.59 — Qualification du filtrage</w:t>
      </w:r>
    </w:p>
    <w:p>
      <w:r>
        <w:t>Auteur : Abdelhalim Talbi | 17 octobre 2026</w:t>
      </w:r>
    </w:p>
    <w:p>
      <w:pPr>
        <w:pStyle w:val="Heading1"/>
      </w:pPr>
      <w:r>
        <w:t>Objectif</w:t>
      </w:r>
    </w:p>
    <w:p>
      <w:r>
        <w:t>Comparer le filtrage Python de v6.57 et v6.59 sur le même jeu de données synthétiques, sans confondre ces mesures avec la fluidité de l’interface Windows.</w:t>
      </w:r>
    </w:p>
    <w:p>
      <w:pPr>
        <w:pStyle w:val="Heading1"/>
      </w:pPr>
      <w:r>
        <w:t>Architecture de mesure</w:t>
      </w:r>
    </w:p>
    <w:p>
      <w:r>
        <w:t>Jeu déterministe → mêmes requêtes → v6.57 et v6.59 → contrôle de l’égalité des résultats → médiane des durées → rapport JSON.</w:t>
      </w:r>
    </w:p>
    <w:p>
      <w:pPr>
        <w:pStyle w:val="Heading1"/>
      </w:pPr>
      <w:r>
        <w:t>Résultats observés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Requête</w:t>
            </w:r>
          </w:p>
        </w:tc>
        <w:tc>
          <w:tcPr>
            <w:tcW w:type="dxa" w:w="2160"/>
          </w:tcPr>
          <w:p>
            <w:r>
              <w:t>v6.57 (ms)</w:t>
            </w:r>
          </w:p>
        </w:tc>
        <w:tc>
          <w:tcPr>
            <w:tcW w:type="dxa" w:w="2160"/>
          </w:tcPr>
          <w:p>
            <w:r>
              <w:t>v6.59 (ms)</w:t>
            </w:r>
          </w:p>
        </w:tc>
        <w:tc>
          <w:tcPr>
            <w:tcW w:type="dxa" w:w="2160"/>
          </w:tcPr>
          <w:p>
            <w:r>
              <w:t>Rapport</w:t>
            </w:r>
          </w:p>
        </w:tc>
      </w:tr>
      <w:tr>
        <w:tc>
          <w:tcPr>
            <w:tcW w:type="dxa" w:w="2160"/>
          </w:tcPr>
          <w:p>
            <w:r>
              <w:t>(vide)</w:t>
            </w:r>
          </w:p>
        </w:tc>
        <w:tc>
          <w:tcPr>
            <w:tcW w:type="dxa" w:w="2160"/>
          </w:tcPr>
          <w:p>
            <w:r>
              <w:t>0.973</w:t>
            </w:r>
          </w:p>
        </w:tc>
        <w:tc>
          <w:tcPr>
            <w:tcW w:type="dxa" w:w="2160"/>
          </w:tcPr>
          <w:p>
            <w:r>
              <w:t>0.774</w:t>
            </w:r>
          </w:p>
        </w:tc>
        <w:tc>
          <w:tcPr>
            <w:tcW w:type="dxa" w:w="2160"/>
          </w:tcPr>
          <w:p>
            <w:r>
              <w:t>0.795</w:t>
            </w:r>
          </w:p>
        </w:tc>
      </w:tr>
      <w:tr>
        <w:tc>
          <w:tcPr>
            <w:tcW w:type="dxa" w:w="2160"/>
          </w:tcPr>
          <w:p>
            <w:r>
              <w:t>status:blocked</w:t>
            </w:r>
          </w:p>
        </w:tc>
        <w:tc>
          <w:tcPr>
            <w:tcW w:type="dxa" w:w="2160"/>
          </w:tcPr>
          <w:p>
            <w:r>
              <w:t>10.902</w:t>
            </w:r>
          </w:p>
        </w:tc>
        <w:tc>
          <w:tcPr>
            <w:tcW w:type="dxa" w:w="2160"/>
          </w:tcPr>
          <w:p>
            <w:r>
              <w:t>3.625</w:t>
            </w:r>
          </w:p>
        </w:tc>
        <w:tc>
          <w:tcPr>
            <w:tcW w:type="dxa" w:w="2160"/>
          </w:tcPr>
          <w:p>
            <w:r>
              <w:t>0.333</w:t>
            </w:r>
          </w:p>
        </w:tc>
      </w:tr>
      <w:tr>
        <w:tc>
          <w:tcPr>
            <w:tcW w:type="dxa" w:w="2160"/>
          </w:tcPr>
          <w:p>
            <w:r>
              <w:t>asset:netapp-000099</w:t>
            </w:r>
          </w:p>
        </w:tc>
        <w:tc>
          <w:tcPr>
            <w:tcW w:type="dxa" w:w="2160"/>
          </w:tcPr>
          <w:p>
            <w:r>
              <w:t>10.745</w:t>
            </w:r>
          </w:p>
        </w:tc>
        <w:tc>
          <w:tcPr>
            <w:tcW w:type="dxa" w:w="2160"/>
          </w:tcPr>
          <w:p>
            <w:r>
              <w:t>7.241</w:t>
            </w:r>
          </w:p>
        </w:tc>
        <w:tc>
          <w:tcPr>
            <w:tcW w:type="dxa" w:w="2160"/>
          </w:tcPr>
          <w:p>
            <w:r>
              <w:t>0.674</w:t>
            </w:r>
          </w:p>
        </w:tc>
      </w:tr>
      <w:tr>
        <w:tc>
          <w:tcPr>
            <w:tcW w:type="dxa" w:w="2160"/>
          </w:tcPr>
          <w:p>
            <w:r>
              <w:t>site 4</w:t>
            </w:r>
          </w:p>
        </w:tc>
        <w:tc>
          <w:tcPr>
            <w:tcW w:type="dxa" w:w="2160"/>
          </w:tcPr>
          <w:p>
            <w:r>
              <w:t>37.578</w:t>
            </w:r>
          </w:p>
        </w:tc>
        <w:tc>
          <w:tcPr>
            <w:tcW w:type="dxa" w:w="2160"/>
          </w:tcPr>
          <w:p>
            <w:r>
              <w:t>35.155</w:t>
            </w:r>
          </w:p>
        </w:tc>
        <w:tc>
          <w:tcPr>
            <w:tcW w:type="dxa" w:w="2160"/>
          </w:tcPr>
          <w:p>
            <w:r>
              <w:t>0.936</w:t>
            </w:r>
          </w:p>
        </w:tc>
      </w:tr>
      <w:tr>
        <w:tc>
          <w:tcPr>
            <w:tcW w:type="dxa" w:w="2160"/>
          </w:tcPr>
          <w:p>
            <w:r>
              <w:t>fabric 12</w:t>
            </w:r>
          </w:p>
        </w:tc>
        <w:tc>
          <w:tcPr>
            <w:tcW w:type="dxa" w:w="2160"/>
          </w:tcPr>
          <w:p>
            <w:r>
              <w:t>36.922</w:t>
            </w:r>
          </w:p>
        </w:tc>
        <w:tc>
          <w:tcPr>
            <w:tcW w:type="dxa" w:w="2160"/>
          </w:tcPr>
          <w:p>
            <w:r>
              <w:t>35.188</w:t>
            </w:r>
          </w:p>
        </w:tc>
        <w:tc>
          <w:tcPr>
            <w:tcW w:type="dxa" w:w="2160"/>
          </w:tcPr>
          <w:p>
            <w:r>
              <w:t>0.953</w:t>
            </w:r>
          </w:p>
        </w:tc>
      </w:tr>
    </w:tbl>
    <w:p>
      <w:pPr>
        <w:pStyle w:val="Heading1"/>
      </w:pPr>
      <w:r>
        <w:t>Portée et limites</w:t>
      </w:r>
    </w:p>
    <w:p>
      <w:r>
        <w:t>10 000 propositions synthétiques, 3 passages par requête, médiane. L’environnement et le bruit système influencent les durées. Le rapport prouve la comparaison fonctionnelle et donne une indication de coût CPU ; aucune capture graphique ni compilation Windows réelle.</w:t>
      </w:r>
    </w:p>
    <w:p>
      <w:pPr>
        <w:pStyle w:val="Heading1"/>
      </w:pPr>
      <w:r>
        <w:t>Suite de qualification</w:t>
      </w:r>
    </w:p>
    <w:p>
      <w:r>
        <w:t>Répéter sur 100 000 propositions, comparer à froid/à chaud, puis mesurer le temps de rendu Tkinter sur un poste Windows. Toute optimisation future doit préserver les clés et le blocage des contradictions.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