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v6.61</w:t>
      </w:r>
    </w:p>
    <w:p>
      <w:r>
        <w:t>Rapport de qualification comparative — Auteur : Abdelhalim Talbi</w:t>
      </w:r>
    </w:p>
    <w:p>
      <w:pPr>
        <w:pStyle w:val="Heading1"/>
      </w:pPr>
      <w:r>
        <w:t>Objectif et périmètre</w:t>
      </w:r>
    </w:p>
    <w:p>
      <w:r>
        <w:t>Mesurer le filtrage de propositions synthétiques à 10 000 et 100 000 en conservant les mêmes jeux de données et requêtes. Il ne s’agit pas d’une mesure de fluidité Tkinter ni d’une certification Windows.</w:t>
      </w:r>
    </w:p>
    <w:p>
      <w:pPr>
        <w:pStyle w:val="Heading1"/>
      </w:pPr>
      <w:r>
        <w:t>Architecture de recherche</w:t>
      </w:r>
    </w:p>
    <w:p>
      <w:r>
        <w:t>Saisie utilisateur → analyse des termes → prédicats ciblés (clé, statut, équipement) → contrôle des termes libres → sérialisation JSON seulement si nécessaire → indices stables → pagination.</w:t>
      </w:r>
    </w:p>
    <w:p>
      <w:pPr>
        <w:pStyle w:val="Heading1"/>
      </w:pPr>
      <w:r>
        <w:t>Protocole</w:t>
      </w:r>
    </w:p>
    <w:p>
      <w:r>
        <w:t>Trois répétitions par requête. Comparaison à la référence v6.57 embarquée. La médiane réduit l’effet des variations ponctuelles ; les mesures restent sensibles à la machine et à la charge.</w:t>
      </w:r>
    </w:p>
    <w:p>
      <w:pPr>
        <w:pStyle w:val="Heading2"/>
      </w:pPr>
      <w:r>
        <w:t>10 000 propositions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Recherche</w:t>
            </w:r>
          </w:p>
        </w:tc>
        <w:tc>
          <w:tcPr>
            <w:tcW w:type="dxa" w:w="2160"/>
          </w:tcPr>
          <w:p>
            <w:r>
              <w:t>Référence (ms)</w:t>
            </w:r>
          </w:p>
        </w:tc>
        <w:tc>
          <w:tcPr>
            <w:tcW w:type="dxa" w:w="2160"/>
          </w:tcPr>
          <w:p>
            <w:r>
              <w:t>v6.61 (ms)</w:t>
            </w:r>
          </w:p>
        </w:tc>
        <w:tc>
          <w:tcPr>
            <w:tcW w:type="dxa" w:w="2160"/>
          </w:tcPr>
          <w:p>
            <w:r>
              <w:t>Ratio</w:t>
            </w:r>
          </w:p>
        </w:tc>
      </w:tr>
      <w:tr>
        <w:tc>
          <w:tcPr>
            <w:tcW w:type="dxa" w:w="2160"/>
          </w:tcPr>
          <w:p>
            <w:r>
              <w:t>(vide)</w:t>
            </w:r>
          </w:p>
        </w:tc>
        <w:tc>
          <w:tcPr>
            <w:tcW w:type="dxa" w:w="2160"/>
          </w:tcPr>
          <w:p>
            <w:r>
              <w:t>1.004</w:t>
            </w:r>
          </w:p>
        </w:tc>
        <w:tc>
          <w:tcPr>
            <w:tcW w:type="dxa" w:w="2160"/>
          </w:tcPr>
          <w:p>
            <w:r>
              <w:t>0.957</w:t>
            </w:r>
          </w:p>
        </w:tc>
        <w:tc>
          <w:tcPr>
            <w:tcW w:type="dxa" w:w="2160"/>
          </w:tcPr>
          <w:p>
            <w:r>
              <w:t>0.953</w:t>
            </w:r>
          </w:p>
        </w:tc>
      </w:tr>
      <w:tr>
        <w:tc>
          <w:tcPr>
            <w:tcW w:type="dxa" w:w="2160"/>
          </w:tcPr>
          <w:p>
            <w:r>
              <w:t>status:blocked</w:t>
            </w:r>
          </w:p>
        </w:tc>
        <w:tc>
          <w:tcPr>
            <w:tcW w:type="dxa" w:w="2160"/>
          </w:tcPr>
          <w:p>
            <w:r>
              <w:t>11.163</w:t>
            </w:r>
          </w:p>
        </w:tc>
        <w:tc>
          <w:tcPr>
            <w:tcW w:type="dxa" w:w="2160"/>
          </w:tcPr>
          <w:p>
            <w:r>
              <w:t>3.857</w:t>
            </w:r>
          </w:p>
        </w:tc>
        <w:tc>
          <w:tcPr>
            <w:tcW w:type="dxa" w:w="2160"/>
          </w:tcPr>
          <w:p>
            <w:r>
              <w:t>0.346</w:t>
            </w:r>
          </w:p>
        </w:tc>
      </w:tr>
      <w:tr>
        <w:tc>
          <w:tcPr>
            <w:tcW w:type="dxa" w:w="2160"/>
          </w:tcPr>
          <w:p>
            <w:r>
              <w:t>asset:netapp-000099</w:t>
            </w:r>
          </w:p>
        </w:tc>
        <w:tc>
          <w:tcPr>
            <w:tcW w:type="dxa" w:w="2160"/>
          </w:tcPr>
          <w:p>
            <w:r>
              <w:t>10.968</w:t>
            </w:r>
          </w:p>
        </w:tc>
        <w:tc>
          <w:tcPr>
            <w:tcW w:type="dxa" w:w="2160"/>
          </w:tcPr>
          <w:p>
            <w:r>
              <w:t>7.632</w:t>
            </w:r>
          </w:p>
        </w:tc>
        <w:tc>
          <w:tcPr>
            <w:tcW w:type="dxa" w:w="2160"/>
          </w:tcPr>
          <w:p>
            <w:r>
              <w:t>0.696</w:t>
            </w:r>
          </w:p>
        </w:tc>
      </w:tr>
      <w:tr>
        <w:tc>
          <w:tcPr>
            <w:tcW w:type="dxa" w:w="2160"/>
          </w:tcPr>
          <w:p>
            <w:r>
              <w:t>site 4</w:t>
            </w:r>
          </w:p>
        </w:tc>
        <w:tc>
          <w:tcPr>
            <w:tcW w:type="dxa" w:w="2160"/>
          </w:tcPr>
          <w:p>
            <w:r>
              <w:t>37.552</w:t>
            </w:r>
          </w:p>
        </w:tc>
        <w:tc>
          <w:tcPr>
            <w:tcW w:type="dxa" w:w="2160"/>
          </w:tcPr>
          <w:p>
            <w:r>
              <w:t>36.811</w:t>
            </w:r>
          </w:p>
        </w:tc>
        <w:tc>
          <w:tcPr>
            <w:tcW w:type="dxa" w:w="2160"/>
          </w:tcPr>
          <w:p>
            <w:r>
              <w:t>0.98</w:t>
            </w:r>
          </w:p>
        </w:tc>
      </w:tr>
      <w:tr>
        <w:tc>
          <w:tcPr>
            <w:tcW w:type="dxa" w:w="2160"/>
          </w:tcPr>
          <w:p>
            <w:r>
              <w:t>fabric 12</w:t>
            </w:r>
          </w:p>
        </w:tc>
        <w:tc>
          <w:tcPr>
            <w:tcW w:type="dxa" w:w="2160"/>
          </w:tcPr>
          <w:p>
            <w:r>
              <w:t>37.504</w:t>
            </w:r>
          </w:p>
        </w:tc>
        <w:tc>
          <w:tcPr>
            <w:tcW w:type="dxa" w:w="2160"/>
          </w:tcPr>
          <w:p>
            <w:r>
              <w:t>38.48</w:t>
            </w:r>
          </w:p>
        </w:tc>
        <w:tc>
          <w:tcPr>
            <w:tcW w:type="dxa" w:w="2160"/>
          </w:tcPr>
          <w:p>
            <w:r>
              <w:t>1.026</w:t>
            </w:r>
          </w:p>
        </w:tc>
      </w:tr>
      <w:tr>
        <w:tc>
          <w:tcPr>
            <w:tcW w:type="dxa" w:w="2160"/>
          </w:tcPr>
          <w:p>
            <w:r>
              <w:t>key:K-00000099</w:t>
            </w:r>
          </w:p>
        </w:tc>
        <w:tc>
          <w:tcPr>
            <w:tcW w:type="dxa" w:w="2160"/>
          </w:tcPr>
          <w:p>
            <w:r>
              <w:t>11.778</w:t>
            </w:r>
          </w:p>
        </w:tc>
        <w:tc>
          <w:tcPr>
            <w:tcW w:type="dxa" w:w="2160"/>
          </w:tcPr>
          <w:p>
            <w:r>
              <w:t>3.04</w:t>
            </w:r>
          </w:p>
        </w:tc>
        <w:tc>
          <w:tcPr>
            <w:tcW w:type="dxa" w:w="2160"/>
          </w:tcPr>
          <w:p>
            <w:r>
              <w:t>0.258</w:t>
            </w:r>
          </w:p>
        </w:tc>
      </w:tr>
    </w:tbl>
    <w:p>
      <w:pPr>
        <w:pStyle w:val="Heading2"/>
      </w:pPr>
      <w:r>
        <w:t>100 000 propositions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Recherche</w:t>
            </w:r>
          </w:p>
        </w:tc>
        <w:tc>
          <w:tcPr>
            <w:tcW w:type="dxa" w:w="2160"/>
          </w:tcPr>
          <w:p>
            <w:r>
              <w:t>Référence (ms)</w:t>
            </w:r>
          </w:p>
        </w:tc>
        <w:tc>
          <w:tcPr>
            <w:tcW w:type="dxa" w:w="2160"/>
          </w:tcPr>
          <w:p>
            <w:r>
              <w:t>v6.61 (ms)</w:t>
            </w:r>
          </w:p>
        </w:tc>
        <w:tc>
          <w:tcPr>
            <w:tcW w:type="dxa" w:w="2160"/>
          </w:tcPr>
          <w:p>
            <w:r>
              <w:t>Ratio</w:t>
            </w:r>
          </w:p>
        </w:tc>
      </w:tr>
      <w:tr>
        <w:tc>
          <w:tcPr>
            <w:tcW w:type="dxa" w:w="2160"/>
          </w:tcPr>
          <w:p>
            <w:r>
              <w:t>(vide)</w:t>
            </w:r>
          </w:p>
        </w:tc>
        <w:tc>
          <w:tcPr>
            <w:tcW w:type="dxa" w:w="2160"/>
          </w:tcPr>
          <w:p>
            <w:r>
              <w:t>43.563</w:t>
            </w:r>
          </w:p>
        </w:tc>
        <w:tc>
          <w:tcPr>
            <w:tcW w:type="dxa" w:w="2160"/>
          </w:tcPr>
          <w:p>
            <w:r>
              <w:t>43.124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</w:tr>
      <w:tr>
        <w:tc>
          <w:tcPr>
            <w:tcW w:type="dxa" w:w="2160"/>
          </w:tcPr>
          <w:p>
            <w:r>
              <w:t>status:blocked</w:t>
            </w:r>
          </w:p>
        </w:tc>
        <w:tc>
          <w:tcPr>
            <w:tcW w:type="dxa" w:w="2160"/>
          </w:tcPr>
          <w:p>
            <w:r>
              <w:t>116.165</w:t>
            </w:r>
          </w:p>
        </w:tc>
        <w:tc>
          <w:tcPr>
            <w:tcW w:type="dxa" w:w="2160"/>
          </w:tcPr>
          <w:p>
            <w:r>
              <w:t>42.448</w:t>
            </w:r>
          </w:p>
        </w:tc>
        <w:tc>
          <w:tcPr>
            <w:tcW w:type="dxa" w:w="2160"/>
          </w:tcPr>
          <w:p>
            <w:r>
              <w:t>0.365</w:t>
            </w:r>
          </w:p>
        </w:tc>
      </w:tr>
      <w:tr>
        <w:tc>
          <w:tcPr>
            <w:tcW w:type="dxa" w:w="2160"/>
          </w:tcPr>
          <w:p>
            <w:r>
              <w:t>asset:netapp-000099</w:t>
            </w:r>
          </w:p>
        </w:tc>
        <w:tc>
          <w:tcPr>
            <w:tcW w:type="dxa" w:w="2160"/>
          </w:tcPr>
          <w:p>
            <w:r>
              <w:t>113.11</w:t>
            </w:r>
          </w:p>
        </w:tc>
        <w:tc>
          <w:tcPr>
            <w:tcW w:type="dxa" w:w="2160"/>
          </w:tcPr>
          <w:p>
            <w:r>
              <w:t>72.746</w:t>
            </w:r>
          </w:p>
        </w:tc>
        <w:tc>
          <w:tcPr>
            <w:tcW w:type="dxa" w:w="2160"/>
          </w:tcPr>
          <w:p>
            <w:r>
              <w:t>0.643</w:t>
            </w:r>
          </w:p>
        </w:tc>
      </w:tr>
      <w:tr>
        <w:tc>
          <w:tcPr>
            <w:tcW w:type="dxa" w:w="2160"/>
          </w:tcPr>
          <w:p>
            <w:r>
              <w:t>site 4</w:t>
            </w:r>
          </w:p>
        </w:tc>
        <w:tc>
          <w:tcPr>
            <w:tcW w:type="dxa" w:w="2160"/>
          </w:tcPr>
          <w:p>
            <w:r>
              <w:t>388.888</w:t>
            </w:r>
          </w:p>
        </w:tc>
        <w:tc>
          <w:tcPr>
            <w:tcW w:type="dxa" w:w="2160"/>
          </w:tcPr>
          <w:p>
            <w:r>
              <w:t>381.085</w:t>
            </w:r>
          </w:p>
        </w:tc>
        <w:tc>
          <w:tcPr>
            <w:tcW w:type="dxa" w:w="2160"/>
          </w:tcPr>
          <w:p>
            <w:r>
              <w:t>0.98</w:t>
            </w:r>
          </w:p>
        </w:tc>
      </w:tr>
      <w:tr>
        <w:tc>
          <w:tcPr>
            <w:tcW w:type="dxa" w:w="2160"/>
          </w:tcPr>
          <w:p>
            <w:r>
              <w:t>fabric 12</w:t>
            </w:r>
          </w:p>
        </w:tc>
        <w:tc>
          <w:tcPr>
            <w:tcW w:type="dxa" w:w="2160"/>
          </w:tcPr>
          <w:p>
            <w:r>
              <w:t>399.499</w:t>
            </w:r>
          </w:p>
        </w:tc>
        <w:tc>
          <w:tcPr>
            <w:tcW w:type="dxa" w:w="2160"/>
          </w:tcPr>
          <w:p>
            <w:r>
              <w:t>383.019</w:t>
            </w:r>
          </w:p>
        </w:tc>
        <w:tc>
          <w:tcPr>
            <w:tcW w:type="dxa" w:w="2160"/>
          </w:tcPr>
          <w:p>
            <w:r>
              <w:t>0.959</w:t>
            </w:r>
          </w:p>
        </w:tc>
      </w:tr>
      <w:tr>
        <w:tc>
          <w:tcPr>
            <w:tcW w:type="dxa" w:w="2160"/>
          </w:tcPr>
          <w:p>
            <w:r>
              <w:t>key:K-00000099</w:t>
            </w:r>
          </w:p>
        </w:tc>
        <w:tc>
          <w:tcPr>
            <w:tcW w:type="dxa" w:w="2160"/>
          </w:tcPr>
          <w:p>
            <w:r>
              <w:t>112.812</w:t>
            </w:r>
          </w:p>
        </w:tc>
        <w:tc>
          <w:tcPr>
            <w:tcW w:type="dxa" w:w="2160"/>
          </w:tcPr>
          <w:p>
            <w:r>
              <w:t>31.514</w:t>
            </w:r>
          </w:p>
        </w:tc>
        <w:tc>
          <w:tcPr>
            <w:tcW w:type="dxa" w:w="2160"/>
          </w:tcPr>
          <w:p>
            <w:r>
              <w:t>0.279</w:t>
            </w:r>
          </w:p>
        </w:tc>
      </w:tr>
    </w:tbl>
    <w:p>
      <w:pPr>
        <w:pStyle w:val="Heading1"/>
      </w:pPr>
      <w:r>
        <w:t>Contrôles et limites</w:t>
      </w:r>
    </w:p>
    <w:p>
      <w:r>
        <w:t>Les résultats de filtrage sont comparés aux résultats de référence à chaque requête. Les tests unitaires ciblés vérifient les indices stables et la recherche multicritère. Les données sont fictives et synthétiques. Aucun test graphique natif Windows n’a été effectué.</w:t>
      </w:r>
    </w:p>
    <w:p>
      <w:pPr>
        <w:pStyle w:val="Heading1"/>
      </w:pPr>
      <w:r>
        <w:t>Qualification Windows à réaliser</w:t>
      </w:r>
    </w:p>
    <w:p>
      <w:r>
        <w:t>Compiler avec Construire-StorageScope.cmd ; installer ; lancer Gouvernance ; importer un inventaire représentatif ; mesurer le temps de réponse de la recherche et la pagination ; désinstaller ; archiver les preuves réelles.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StorageScope  |  Gouvernance et performances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