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v6.70 — Rendu Gouvernance</w:t>
      </w:r>
    </w:p>
    <w:p>
      <w:r>
        <w:t>Auteur : Abdelhalim Talbi | Note de version et qualification</w:t>
      </w:r>
    </w:p>
    <w:p>
      <w:pPr>
        <w:pStyle w:val="Heading1"/>
      </w:pPr>
      <w:r>
        <w:t>Objectif</w:t>
      </w:r>
    </w:p>
    <w:p>
      <w:r>
        <w:t>Réduire les opérations Treeview coûteuses observées dans le benchmark v6.69, sans multiplier les caches ni altérer les décisions Gouvernance.</w:t>
      </w:r>
    </w:p>
    <w:p>
      <w:pPr>
        <w:pStyle w:val="Heading1"/>
      </w:pPr>
      <w:r>
        <w:t>Architecture</w:t>
      </w:r>
    </w:p>
    <w:p>
      <w:r>
        <w:t>Filtrage Python -&gt; pagination -&gt; préparation des lignes -&gt; rendu Treeview. Pour une page de 500 lignes ou plus : reconstruction complète. Pour une petite page : réconciliation incrémentale, sauf réordonnancement massif.</w:t>
      </w:r>
    </w:p>
    <w:p>
      <w:pPr>
        <w:pStyle w:val="Heading1"/>
      </w:pPr>
      <w:r>
        <w:t>Sécurité et état UI</w:t>
      </w:r>
    </w:p>
    <w:p>
      <w:r>
        <w:t>Les identifiants de ligne doivent être uniques. Avant reconstruction, la sélection et la position de défilement sont sauvegardées et restaurées si les identifiants existent encore. Les contradictions restent bloquantes et les décisions nécessitent une revue humaine.</w:t>
      </w:r>
    </w:p>
    <w:p>
      <w:pPr>
        <w:pStyle w:val="Heading1"/>
      </w:pPr>
      <w:r>
        <w:t>Qualification réalisée</w:t>
      </w:r>
    </w:p>
    <w:p>
      <w:r>
        <w:t>38 tests ciblés v6.65-v6.70 réussis sous Linux. Des avertissements SQLite persistent dans des tests historiques. Pas de benchmark natif Windows ni de recette graphique Windows exécutés.</w:t>
      </w:r>
    </w:p>
    <w:p>
      <w:pPr>
        <w:pStyle w:val="Heading1"/>
      </w:pPr>
      <w:r>
        <w:t>Scénario illustratif — fictif</w:t>
      </w:r>
    </w:p>
    <w:p>
      <w:r>
        <w:t>Exemple fictif : une revue de 1 000 propositions modifie 900 libellés. La stratégie reconstruit le tableau, conserve la proposition sélectionnée si elle existe et restaure le défilement. Cet exemple ne constitue pas une capture ni une preuve d’exécution.</w:t>
      </w:r>
    </w:p>
    <w:p>
      <w:pPr>
        <w:pStyle w:val="Heading1"/>
      </w:pPr>
      <w:r>
        <w:t>Procédure Windows</w:t>
      </w:r>
    </w:p>
    <w:p>
      <w:r>
        <w:t>Extraire le ZIP, exécuter Construire-StorageScope.cmd, ouvrir Gouvernance, tester les pages de 100, 500 et 1 000 lignes, vérifier sélection et défilement, puis joindre les journaux et captures réelles.</w:t>
      </w:r>
    </w:p>
    <w:p>
      <w:pPr>
        <w:pStyle w:val="Heading1"/>
      </w:pPr>
      <w:r>
        <w:t>Limites</w:t>
      </w:r>
    </w:p>
    <w:p>
      <w:r>
        <w:t>Le seuil de 500 est une hypothèse d’optimisation basée sur Linux/Xvfb. Les performances Windows et la compatibilité de l’installateur ne sont pas validées.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