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v6.82 — Robustesse du journal de publication</w:t>
      </w:r>
    </w:p>
    <w:p>
      <w:r>
        <w:t>Auteur : Abdelhalim Talbi | 18 octobre 2026</w:t>
      </w:r>
    </w:p>
    <w:p>
      <w:pPr>
        <w:pStyle w:val="Heading1"/>
      </w:pPr>
      <w:r>
        <w:t>Objet</w:t>
      </w:r>
    </w:p>
    <w:p>
      <w:r>
        <w:t>Durcissement de la publication transactionnelle des livrables Windows : installateur, portable, distribution et journaux.</w:t>
      </w:r>
    </w:p>
    <w:p>
      <w:pPr>
        <w:pStyle w:val="Heading1"/>
      </w:pPr>
      <w:r>
        <w:t>Analyse du risque</w:t>
      </w:r>
    </w:p>
    <w:p>
      <w:r>
        <w:t>Une sauvegarde altérée ou un répertoire symbolique pouvait exposer la procédure de récupération à une suppression ou une restauration ambiguë. Le moteur refuse désormais ces états avant toute mutation.</w:t>
      </w:r>
    </w:p>
    <w:p>
      <w:pPr>
        <w:pStyle w:val="Heading1"/>
      </w:pPr>
      <w:r>
        <w:t>Chaîne de publication</w:t>
      </w:r>
    </w:p>
    <w:p>
      <w:r>
        <w:t>Compilation → Préparation → Inventaire SHA-256 → Journal synchronisé → Renommages → Vérification → Publication. En cas de panne détectée : contrôle de toutes les sauvegardes, puis restauration.</w:t>
      </w:r>
    </w:p>
    <w:p>
      <w:pPr>
        <w:pStyle w:val="Heading1"/>
      </w:pPr>
      <w:r>
        <w:t>Sécurité</w:t>
      </w:r>
    </w:p>
    <w:p>
      <w:r>
        <w:t>Les composants de staging et de sauvegarde ne doivent pas être des liens symboliques. Les empreintes SHA-256 des anciennes versions sont contrôlées avant suppression des nouvelles versions.</w:t>
      </w:r>
    </w:p>
    <w:p>
      <w:pPr>
        <w:pStyle w:val="Heading1"/>
      </w:pPr>
      <w:r>
        <w:t>Durabilité</w:t>
      </w:r>
    </w:p>
    <w:p>
      <w:r>
        <w:t>Après écriture et fsync du fichier temporaire, le journal est remplacé atomiquement ; une synchronisation du répertoire est tentée sur POSIX. Sur Windows, cette garantie de durabilité du répertoire n’est pas disponible dans cette implémentation.</w:t>
      </w:r>
    </w:p>
    <w:p>
      <w:pPr>
        <w:pStyle w:val="Heading1"/>
      </w:pPr>
      <w:r>
        <w:t>Qualification</w:t>
      </w:r>
    </w:p>
    <w:p>
      <w:r>
        <w:t>11 tests de publication v6.80–v6.82 réussis sur Linux ; scénarios de falsification et de lien symbolique ajoutés. Compilation Windows, installation et coupure électrique non testées.</w:t>
      </w:r>
    </w:p>
    <w:p>
      <w:pPr>
        <w:pStyle w:val="Heading1"/>
      </w:pPr>
      <w:r>
        <w:t>Exemple fictif (non exécuté sur Windows)</w:t>
      </w:r>
    </w:p>
    <w:p>
      <w:r>
        <w:t>Commande : py publish-transaction.py --root C:\release --recover. Résultat attendu si sauvegarde altérée : « Corrupted backup for dist; manual inspection required ». Ceci est une illustration, pas une capture réelle.</w:t>
      </w:r>
    </w:p>
    <w:p>
      <w:pPr>
        <w:pStyle w:val="Heading1"/>
      </w:pPr>
      <w:r>
        <w:t>Prochaines étapes</w:t>
      </w:r>
    </w:p>
    <w:p>
      <w:r>
        <w:t>Exécuter compilation, installateur Inno Setup, portable, qualification GUI et reprise sur machine Windows ; mesurer les performances du rendu avec Treeview natif.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