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v6.97 — Qualification Windows</w:t>
      </w:r>
    </w:p>
    <w:p>
      <w:r>
        <w:t>Auteur : Abdelhalim Talbi — 18 octobre 2026</w:t>
      </w:r>
    </w:p>
    <w:p>
      <w:pPr>
        <w:pStyle w:val="Heading1"/>
      </w:pPr>
      <w:r>
        <w:t>Anomalie identifiée</w:t>
      </w:r>
    </w:p>
    <w:p>
      <w:r>
        <w:t>Dans GitHub Actions, le contrôle PowerShell de la version utilisait des antislashs doublés dans une chaîne littérale. Il risquait de rejeter les versions au format 6.97.</w:t>
      </w:r>
    </w:p>
    <w:p>
      <w:pPr>
        <w:pStyle w:val="Heading1"/>
      </w:pPr>
      <w:r>
        <w:t>Correction</w:t>
      </w:r>
    </w:p>
    <w:p>
      <w:r>
        <w:t>La validation utilise désormais une expression régulière PowerShell adaptée au format majeur.mineur. Le workflow vérifie également que les trois rapports natifs sont présents et non vides avant de publier les exécutables.</w:t>
      </w:r>
    </w:p>
    <w:p>
      <w:pPr>
        <w:pStyle w:val="Heading1"/>
      </w:pPr>
      <w:r>
        <w:t>Fabrication Windows</w:t>
      </w:r>
    </w:p>
    <w:p>
      <w:r>
        <w:t>Depuis Windows x64, exécuter Construire-StorageScope.cmd à la racine. La chaîne produit StorageScope.exe, StorageScope-UpgradeGate.exe, l’installateur et le ZIP portable, puis les regroupe dans binary/v6.97/ après contrôle SHA-256.</w:t>
      </w:r>
    </w:p>
    <w:p>
      <w:pPr>
        <w:pStyle w:val="Heading1"/>
      </w:pPr>
      <w:r>
        <w:t>Qualification réalisée</w:t>
      </w:r>
    </w:p>
    <w:p>
      <w:r>
        <w:t>Quatre tests automatisés de contrat ont été exécutés et réussis sur Linux. La compilation Windows, le lancement des EXE, l’installation et la désinstallation n’ont pas été réalisés ici.</w:t>
      </w:r>
    </w:p>
    <w:p>
      <w:pPr>
        <w:pStyle w:val="Heading1"/>
      </w:pPr>
      <w:r>
        <w:t>Points à qualifier</w:t>
      </w:r>
    </w:p>
    <w:p>
      <w:r>
        <w:t>Exécuter le workflow sur un hôte Windows ; confirmer le téléchargement de StorageScope-Windows-QUALIFIED ; vérifier le rapport consolidé, les journaux et les captures réelles de l’interface.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