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v6.104 — Restauration transactionnelle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Ne jamais exposer un répertoire de restauration partiellement copié.</w:t>
      </w:r>
    </w:p>
    <w:p>
      <w:pPr>
        <w:pStyle w:val="Heading1"/>
      </w:pPr>
      <w:r>
        <w:t>Flux de restauration</w:t>
      </w:r>
    </w:p>
    <w:p>
      <w:r>
        <w:t>1. Vérification du manifeste et des empreintes de la source. 2. Vérification SQLite. 3. Création d’un répertoire temporaire privé dans le dossier parent. 4. Copie en blocs de 1 Mio et recalcul SHA-256. 5. Synchronisation des fichiers. 6. Nouvelle vérification de la source. 7. Renommage du dossier temporaire vers la destination finale.</w:t>
      </w:r>
    </w:p>
    <w:p>
      <w:pPr>
        <w:pStyle w:val="Heading1"/>
      </w:pPr>
      <w:r>
        <w:t>Sécurité et limites</w:t>
      </w:r>
    </w:p>
    <w:p>
      <w:r>
        <w:t>Destination existante refusée ; parent manquant ou lien symbolique refusé ; aucun écrasement volontaire. La publication par renommage dépend des garanties du système de fichiers. Une coupure électrique peut encore nécessiter un contrôle manuel de durabilité des métadonnées.</w:t>
      </w:r>
    </w:p>
    <w:p>
      <w:pPr>
        <w:pStyle w:val="Heading1"/>
      </w:pPr>
      <w:r>
        <w:t>Qualification</w:t>
      </w:r>
    </w:p>
    <w:p>
      <w:r>
        <w:t>Tests unitaires exécutés sous Linux ; aucun test Windows natif, aucune capture réelle Windows. Les scénarios de tests sont synthétiques, pas des captures d’interface.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