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b/>
          <w:bCs/>
          <w:color w:val="1F3864"/>
          <w:sz w:val="56"/>
          <w:szCs w:val="56"/>
        </w:rPr>
        <w:t xml:space="preserve">Server Hosting Options</w:t>
      </w:r>
    </w:p>
    <w:p>
      <w:pPr>
        <w:spacing w:after="120" w:before="0"/>
        <w:jc w:val="center"/>
      </w:pPr>
      <w:r>
        <w:rPr>
          <w:color w:val="E8A020"/>
          <w:sz w:val="32"/>
          <w:szCs w:val="32"/>
        </w:rPr>
        <w:t xml:space="preserve">Comparison &amp; Recommendation Report</w:t>
      </w:r>
    </w:p>
    <w:p>
      <w:pPr>
        <w:spacing w:after="60" w:before="60"/>
        <w:jc w:val="center"/>
      </w:pPr>
      <w:r>
        <w:rPr>
          <w:i/>
          <w:iCs/>
          <w:color w:val="444444"/>
          <w:sz w:val="24"/>
          <w:szCs w:val="24"/>
        </w:rPr>
        <w:t xml:space="preserve">Prepared for: GSL Pakistan</w:t>
      </w:r>
    </w:p>
    <w:p>
      <w:pPr>
        <w:spacing w:after="60" w:before="0"/>
        <w:jc w:val="center"/>
      </w:pPr>
      <w:r>
        <w:rPr>
          <w:i/>
          <w:iCs/>
          <w:color w:val="444444"/>
          <w:sz w:val="24"/>
          <w:szCs w:val="24"/>
        </w:rPr>
        <w:t xml:space="preserve">Submitted by: Saad Ashraf</w:t>
      </w:r>
    </w:p>
    <w:p>
      <w:pPr>
        <w:spacing w:after="1440" w:before="0"/>
        <w:jc w:val="center"/>
      </w:pPr>
      <w:r>
        <w:rPr>
          <w:color w:val="888888"/>
          <w:sz w:val="22"/>
          <w:szCs w:val="22"/>
        </w:rPr>
        <w:t xml:space="preserve">Date: May 2026  |  Version 1.0</w:t>
      </w:r>
    </w:p>
    <w:p>
      <w:r>
        <w:br w:type="page"/>
      </w:r>
    </w:p>
    <w:p>
      <w:pPr>
        <w:pStyle w:val="Heading1"/>
        <w:spacing w:after="120" w:before="360"/>
      </w:pPr>
      <w:r>
        <w:rPr>
          <w:b/>
          <w:bCs/>
          <w:color w:val="1F3864"/>
          <w:sz w:val="32"/>
          <w:szCs w:val="32"/>
        </w:rPr>
        <w:t xml:space="preserve">1. Overview</w:t>
      </w:r>
    </w:p>
    <w:p>
      <w:pPr>
        <w:spacing w:after="60" w:before="60"/>
      </w:pPr>
      <w:r>
        <w:rPr>
          <w:sz w:val="22"/>
          <w:szCs w:val="22"/>
        </w:rPr>
        <w:t xml:space="preserve">This document evaluates three server hosting options for GSL Pakistan's operational needs: a custom-built on-premise server, an external shared/VPS hosting solution via Hostinger, and a private Virtual Data Center (VDC) cloud solution offered by Garaj (Jazz Business). Each option is assessed against the same baseline hardware specification and presented with clear pros and cons to support an informed business decision.</w:t>
      </w:r>
    </w:p>
    <w:p>
      <w:pPr>
        <w:pBdr>
          <w:bottom w:val="single" w:color="E8A020" w:sz="6" w:space="1"/>
        </w:pBdr>
        <w:spacing w:after="200" w:before="200"/>
      </w:pPr>
    </w:p>
    <w:p>
      <w:pPr>
        <w:pStyle w:val="Heading1"/>
        <w:spacing w:after="120" w:before="360"/>
      </w:pPr>
      <w:r>
        <w:rPr>
          <w:b/>
          <w:bCs/>
          <w:color w:val="1F3864"/>
          <w:sz w:val="32"/>
          <w:szCs w:val="32"/>
        </w:rPr>
        <w:t xml:space="preserve">2. Baseline Hardware Specification</w:t>
      </w:r>
    </w:p>
    <w:p>
      <w:pPr>
        <w:spacing w:after="60" w:before="60"/>
      </w:pPr>
      <w:r>
        <w:rPr>
          <w:sz w:val="22"/>
          <w:szCs w:val="22"/>
        </w:rPr>
        <w:t xml:space="preserve">All three options are evaluated against the following target specification: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CPU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2-Core Processor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8 GB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 TB SSD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Connectivity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Public IP / Internet Access</w:t>
            </w:r>
          </w:p>
        </w:tc>
      </w:tr>
    </w:tbl>
    <w:p>
      <w:pPr>
        <w:spacing w:after="120" w:before="120"/>
      </w:pPr>
    </w:p>
    <w:p>
      <w:pPr>
        <w:pBdr>
          <w:bottom w:val="single" w:color="E8A020" w:sz="6" w:space="1"/>
        </w:pBdr>
        <w:spacing w:after="200" w:before="200"/>
      </w:pPr>
    </w:p>
    <w:p>
      <w:pPr>
        <w:pStyle w:val="Heading1"/>
        <w:spacing w:after="120" w:before="360"/>
      </w:pPr>
      <w:r>
        <w:rPr>
          <w:b/>
          <w:bCs/>
          <w:color w:val="1F3864"/>
          <w:sz w:val="32"/>
          <w:szCs w:val="32"/>
        </w:rPr>
        <w:t xml:space="preserve">3. Option 1 — Custom On-Premise Server</w:t>
      </w:r>
    </w:p>
    <w:p>
      <w:pPr>
        <w:pStyle w:val="Heading2"/>
        <w:spacing w:after="80" w:before="240"/>
      </w:pPr>
      <w:r>
        <w:rPr>
          <w:b/>
          <w:bCs/>
          <w:color w:val="E8A020"/>
          <w:sz w:val="26"/>
          <w:szCs w:val="26"/>
        </w:rPr>
        <w:t xml:space="preserve">(Locally Assembled, Custom Build)</w:t>
      </w:r>
    </w:p>
    <w:p>
      <w:pPr>
        <w:spacing w:after="60" w:before="60"/>
      </w:pPr>
      <w:r>
        <w:rPr>
          <w:sz w:val="22"/>
          <w:szCs w:val="22"/>
        </w:rPr>
        <w:t xml:space="preserve">A server assembled from locally sourced components. The machine is installed and managed within the company’s own office premises.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CPU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Intel Core i5 / Xeon E (2-core / 4-thread)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8 GB DDR4 ECC or Standard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 TB Samsung / WD SSD (SATA or NVMe)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Estimated One-Time Cost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PKR 150,000 – 220,000 (approx.)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Monthly Running Cost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Electricity + UPS maintenance + Static IP charges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Static IP (Nayatel)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PKR 16,000/month (if using Nayatel as ISP)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Static IP (PTCL)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PKR 500/month (if using PTCL as ISP)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Ownership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Company-owned hardware</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7340" w:val="clear"/>
            <w:tcMar>
              <w:top w:type="dxa" w:w="80"/>
              <w:left w:type="dxa" w:w="120"/>
              <w:bottom w:type="dxa" w:w="80"/>
              <w:right w:type="dxa" w:w="120"/>
            </w:tcMar>
          </w:tcPr>
          <w:p>
            <w:pPr>
              <w:jc w:val="center"/>
            </w:pPr>
            <w:r>
              <w:rPr>
                <w:b/>
                <w:bCs/>
                <w:color w:val="FFFFFF"/>
                <w:sz w:val="24"/>
                <w:szCs w:val="24"/>
              </w:rPr>
              <w:t xml:space="preserve">Pros</w:t>
            </w:r>
          </w:p>
        </w:tc>
        <w:tc>
          <w:tcPr>
            <w:tcW w:type="dxa" w:w="4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24"/>
                <w:szCs w:val="24"/>
              </w:rPr>
              <w:t xml:space="preserve">Cons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Full hardware ownership — no monthly lease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High upfront capital expenditure required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No recurring cloud subscription fee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No built-in redundancy or failover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Data stays entirely on-premise (data sovereignty)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Risk of hardware failure with no automatic backup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Customisable hardware upgrades at any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Requires dedicated IT staff for maintenance &amp; monitoring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Fast local network access for internal 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Power outages and load-shedding disrupt operations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No bandwidth limits on internal data transfer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No offsite disaster recovery unless separately arranged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One-time cost predictable and affordable locally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Physical security responsibility lies with the company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Easy to inspect and troubleshoot hardware directly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Cooling, space, and noise management needed in office</w:t>
            </w:r>
          </w:p>
        </w:tc>
      </w:tr>
    </w:tbl>
    <w:p>
      <w:pPr>
        <w:spacing w:after="60" w:before="120"/>
      </w:pPr>
    </w:p>
    <w:p>
      <w:pPr>
        <w:spacing w:after="40" w:before="60"/>
      </w:pPr>
      <w:r>
        <w:rPr>
          <w:b/>
          <w:bCs/>
          <w:color w:val="1F3864"/>
          <w:sz w:val="24"/>
          <w:szCs w:val="24"/>
        </w:rPr>
        <w:t xml:space="preserve">Static IP Requirement</w:t>
      </w:r>
    </w:p>
    <w:p>
      <w:pPr>
        <w:spacing w:after="60" w:before="60"/>
      </w:pPr>
      <w:r>
        <w:rPr>
          <w:sz w:val="22"/>
          <w:szCs w:val="22"/>
        </w:rPr>
        <w:t xml:space="preserve">An on-premise server that needs to be accessed remotely over the internet requires a Static IP address from your Internet Service Provider (ISP). Without a static IP, the server’s public address changes periodically, making remote access unreliable. This is a mandatory additional monthly cost that must be factored into the total budget.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2"/>
                <w:szCs w:val="22"/>
              </w:rPr>
              <w:t xml:space="preserve">ISP</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2"/>
                <w:szCs w:val="22"/>
              </w:rPr>
              <w:t xml:space="preserve">Static IP Monthly Charge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2"/>
                <w:szCs w:val="22"/>
              </w:rPr>
              <w:t xml:space="preserve">Remarks</w:t>
            </w:r>
          </w:p>
        </w:tc>
      </w:tr>
      <w:tr>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b w:val="false"/>
                <w:bCs w:val="false"/>
                <w:color w:val="000000"/>
                <w:sz w:val="22"/>
                <w:szCs w:val="22"/>
              </w:rPr>
              <w:t xml:space="preserve">Nayatel</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b/>
                <w:bCs/>
                <w:color w:val="C0392B"/>
                <w:sz w:val="22"/>
                <w:szCs w:val="22"/>
              </w:rPr>
              <w:t xml:space="preserve">PKR 16,000 / month</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b w:val="false"/>
                <w:bCs w:val="false"/>
                <w:color w:val="000000"/>
                <w:sz w:val="22"/>
                <w:szCs w:val="22"/>
              </w:rPr>
              <w:t xml:space="preserve">High cost — factor carefully into monthly budget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val="false"/>
                <w:bCs w:val="false"/>
                <w:color w:val="000000"/>
                <w:sz w:val="22"/>
                <w:szCs w:val="22"/>
              </w:rPr>
              <w:t xml:space="preserve">PTCL</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1A7340"/>
                <w:sz w:val="22"/>
                <w:szCs w:val="22"/>
              </w:rPr>
              <w:t xml:space="preserve">PKR 500 / month</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val="false"/>
                <w:bCs w:val="false"/>
                <w:color w:val="000000"/>
                <w:sz w:val="22"/>
                <w:szCs w:val="22"/>
              </w:rPr>
              <w:t xml:space="preserve">Most affordable — recommended if available in your area</w:t>
            </w:r>
          </w:p>
        </w:tc>
      </w:tr>
    </w:tbl>
    <w:p>
      <w:pPr>
        <w:spacing w:after="60" w:before="80"/>
      </w:pPr>
    </w:p>
    <w:p>
      <w:pPr>
        <w:spacing w:after="60" w:before="60"/>
      </w:pPr>
      <w:r>
        <w:rPr>
          <w:i/>
          <w:iCs/>
          <w:color w:val="555555"/>
          <w:sz w:val="22"/>
          <w:szCs w:val="22"/>
        </w:rPr>
        <w:t xml:space="preserve">Note: PTCL provides static IP at PKR 500/month, making it the most cost-effective choice for on-premise server hosting. Nayatel charges PKR 16,000/month for a static IP, which significantly increases the total monthly operating cost of the on-premise option and must be factored into the budget carefully.</w:t>
      </w:r>
    </w:p>
    <w:p>
      <w:pPr>
        <w:spacing w:after="120" w:before="60"/>
      </w:pPr>
    </w:p>
    <w:p>
      <w:pPr>
        <w:pBdr>
          <w:bottom w:val="single" w:color="E8A020" w:sz="6" w:space="1"/>
        </w:pBdr>
        <w:spacing w:after="200" w:before="200"/>
      </w:pPr>
    </w:p>
    <w:p>
      <w:pPr>
        <w:pStyle w:val="Heading1"/>
        <w:spacing w:after="120" w:before="360"/>
      </w:pPr>
      <w:r>
        <w:rPr>
          <w:b/>
          <w:bCs/>
          <w:color w:val="1F3864"/>
          <w:sz w:val="32"/>
          <w:szCs w:val="32"/>
        </w:rPr>
        <w:t xml:space="preserve">4. Option 2 — External Cloud Hosting (Hostinger VPS)</w:t>
      </w:r>
    </w:p>
    <w:p>
      <w:pPr>
        <w:spacing w:after="60" w:before="60"/>
      </w:pPr>
      <w:r>
        <w:rPr>
          <w:sz w:val="22"/>
          <w:szCs w:val="22"/>
        </w:rPr>
        <w:t xml:space="preserve">Hostinger is an international web hosting provider offering affordable Virtual Private Server (VPS) plans. The server runs on shared infrastructure in data centers outside Pakistan (typically Europe, Singapore, or the US).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CPU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 vCPU</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8 GB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Up to 200 GB NVMe (2 TB not standard on base plans)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Monthly Cost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Approx. USD 15–35/month (plan-dependent)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Data Center 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Outside Pakistan (EU / SG / 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Ownership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Rented virtual resource</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7340" w:val="clear"/>
            <w:tcMar>
              <w:top w:type="dxa" w:w="80"/>
              <w:left w:type="dxa" w:w="120"/>
              <w:bottom w:type="dxa" w:w="80"/>
              <w:right w:type="dxa" w:w="120"/>
            </w:tcMar>
          </w:tcPr>
          <w:p>
            <w:pPr>
              <w:jc w:val="center"/>
            </w:pPr>
            <w:r>
              <w:rPr>
                <w:b/>
                <w:bCs/>
                <w:color w:val="FFFFFF"/>
                <w:sz w:val="24"/>
                <w:szCs w:val="24"/>
              </w:rPr>
              <w:t xml:space="preserve">Pros</w:t>
            </w:r>
          </w:p>
        </w:tc>
        <w:tc>
          <w:tcPr>
            <w:tcW w:type="dxa" w:w="4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24"/>
                <w:szCs w:val="24"/>
              </w:rPr>
              <w:t xml:space="preserve">Cons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Very low upfront cost — no hardware purchase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Data hosted outside Pakistan (regulatory concern)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Easy and fast deployment — online in minutes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2 TB SSD storage not available on standard VPS plans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99.9% uptime SLA with managed infrastructure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Monthly USD billing subject to PKR exchange rate fluctuation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Managed OS updates and basic security patching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Latency may be higher for local Pakistan users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Scalable — upgrade RAM/CPU with a few clicks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Limited control over physical hardware and data center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Global CDN options for faster web delivery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Support response times vary; no dedicated Pakistan support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No power, cooling, or space concerns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Shared infrastructure risk (noisy neighbours on shared VPS)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Automated backups available at extra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Outbound bandwidth can be limited or charged over quota</w:t>
            </w:r>
          </w:p>
        </w:tc>
      </w:tr>
    </w:tbl>
    <w:p>
      <w:pPr>
        <w:spacing w:after="120" w:before="60"/>
      </w:pPr>
    </w:p>
    <w:p>
      <w:pPr>
        <w:pBdr>
          <w:bottom w:val="single" w:color="E8A020" w:sz="6" w:space="1"/>
        </w:pBdr>
        <w:spacing w:after="200" w:before="200"/>
      </w:pPr>
    </w:p>
    <w:p>
      <w:pPr>
        <w:pStyle w:val="Heading1"/>
        <w:spacing w:after="120" w:before="360"/>
      </w:pPr>
      <w:r>
        <w:rPr>
          <w:b/>
          <w:bCs/>
          <w:color w:val="1F3864"/>
          <w:sz w:val="32"/>
          <w:szCs w:val="32"/>
        </w:rPr>
        <w:t xml:space="preserve">5. Option 3 — Garaj by Jazz (Virtual Data Center / VDC)</w:t>
      </w:r>
    </w:p>
    <w:p>
      <w:pPr>
        <w:spacing w:after="60" w:before="60"/>
      </w:pPr>
      <w:r>
        <w:rPr>
          <w:sz w:val="22"/>
          <w:szCs w:val="22"/>
        </w:rPr>
        <w:t xml:space="preserve">Garaj is the cloud and enterprise IT brand of Jazz (Pakistan Mobile Communications Limited). Their Virtual Data Center (VDC) service provides dedicated virtualised compute, storage, and networking resources hosted within Pakistan’s sovereign borders across three Tier-III certified data centres (Lahore, Islamabad, Karachi).</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vCPU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 GB (as per submitted quotation)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2,048 GB (2 TB)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Bandwidth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 Mbps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Public IP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 Static IP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Monthly Cost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USD 365 + Tax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Contract Term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 Year (monthly upfront)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Data Center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Pakistan-based, Tier-III, ISO 27001 &amp; PCI DSS certified</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7340" w:val="clear"/>
            <w:tcMar>
              <w:top w:type="dxa" w:w="80"/>
              <w:left w:type="dxa" w:w="120"/>
              <w:bottom w:type="dxa" w:w="80"/>
              <w:right w:type="dxa" w:w="120"/>
            </w:tcMar>
          </w:tcPr>
          <w:p>
            <w:pPr>
              <w:jc w:val="center"/>
            </w:pPr>
            <w:r>
              <w:rPr>
                <w:b/>
                <w:bCs/>
                <w:color w:val="FFFFFF"/>
                <w:sz w:val="24"/>
                <w:szCs w:val="24"/>
              </w:rPr>
              <w:t xml:space="preserve">Pros</w:t>
            </w:r>
          </w:p>
        </w:tc>
        <w:tc>
          <w:tcPr>
            <w:tcW w:type="dxa" w:w="4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24"/>
                <w:szCs w:val="24"/>
              </w:rPr>
              <w:t xml:space="preserve">Cons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Data hosted entirely within Pakistan (SBP compliant)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Higher monthly cost vs Hostinger (USD 365/month)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Tier-III data centres with 99.9%+ uptime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RAM in quoted plan is 4 GB (not 8 GB as required)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ISO 27001:2022 &amp; PCI DSS v4.0.1 certified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1-year contract lock-in with monthly upfront payment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Zero-touch auto-provisioning and 24/7 support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USD billing means cost rises if PKR weakens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SBP-aligned, secure on-shore data hosting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Limited self-service portal compared to AWS/Azure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Backed by Jazz’s 73M+ user nationwide network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Quote valid only 7 days; must be renewed if delayed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Multi-availability zones for business continuity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Anything outside scope billed separately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7340"/>
                <w:sz w:val="22"/>
                <w:szCs w:val="22"/>
              </w:rPr>
              <w:t xml:space="preserve">✔  No capital expenditure; fully managed hardware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sz w:val="22"/>
                <w:szCs w:val="22"/>
              </w:rPr>
              <w:t xml:space="preserve">✘  Dependent on Jazz network for connectivity</w:t>
            </w:r>
          </w:p>
        </w:tc>
      </w:tr>
    </w:tbl>
    <w:p>
      <w:pPr>
        <w:spacing w:after="120" w:before="60"/>
      </w:pPr>
    </w:p>
    <w:p>
      <w:pPr>
        <w:pBdr>
          <w:bottom w:val="single" w:color="E8A020" w:sz="6" w:space="1"/>
        </w:pBdr>
        <w:spacing w:after="200" w:before="200"/>
      </w:pPr>
    </w:p>
    <w:p>
      <w:pPr>
        <w:pStyle w:val="Heading1"/>
        <w:spacing w:after="120" w:before="360"/>
      </w:pPr>
      <w:r>
        <w:rPr>
          <w:b/>
          <w:bCs/>
          <w:color w:val="1F3864"/>
          <w:sz w:val="32"/>
          <w:szCs w:val="32"/>
        </w:rPr>
        <w:t xml:space="preserve">6. Side-by-Side Comparison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b/>
                <w:bCs/>
                <w:color w:val="FFFFFF"/>
                <w:sz w:val="20"/>
                <w:szCs w:val="20"/>
              </w:rPr>
              <w:t xml:space="preserve">Feature</w:t>
            </w:r>
          </w:p>
        </w:tc>
        <w:tc>
          <w:tcPr>
            <w:tcW w:type="dxa" w:w="2387"/>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b/>
                <w:bCs/>
                <w:color w:val="FFFFFF"/>
                <w:sz w:val="20"/>
                <w:szCs w:val="20"/>
              </w:rPr>
              <w:t xml:space="preserve">On-Premise (Custom)</w:t>
            </w:r>
          </w:p>
        </w:tc>
        <w:tc>
          <w:tcPr>
            <w:tcW w:type="dxa" w:w="2387"/>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b/>
                <w:bCs/>
                <w:color w:val="FFFFFF"/>
                <w:sz w:val="20"/>
                <w:szCs w:val="20"/>
              </w:rPr>
              <w:t xml:space="preserve">Hostinger VPS</w:t>
            </w:r>
          </w:p>
        </w:tc>
        <w:tc>
          <w:tcPr>
            <w:tcW w:type="dxa" w:w="2386"/>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b/>
                <w:bCs/>
                <w:color w:val="FFFFFF"/>
                <w:sz w:val="20"/>
                <w:szCs w:val="20"/>
              </w:rPr>
              <w:t xml:space="preserve">Garaj VDC (Jazz)</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Upfront Cost</w:t>
            </w:r>
          </w:p>
        </w:tc>
        <w:tc>
          <w:tcPr>
            <w:tcW w:type="dxa" w:w="2387"/>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jc w:val="center"/>
            </w:pPr>
            <w:r>
              <w:rPr>
                <w:sz w:val="20"/>
                <w:szCs w:val="20"/>
              </w:rPr>
              <w:t xml:space="preserve">High (PKR 150k+)</w:t>
            </w:r>
          </w:p>
        </w:tc>
        <w:tc>
          <w:tcPr>
            <w:tcW w:type="dxa" w:w="2387"/>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jc w:val="center"/>
            </w:pPr>
            <w:r>
              <w:rPr>
                <w:sz w:val="20"/>
                <w:szCs w:val="20"/>
              </w:rPr>
              <w:t xml:space="preserve">None</w:t>
            </w:r>
          </w:p>
        </w:tc>
        <w:tc>
          <w:tcPr>
            <w:tcW w:type="dxa" w:w="238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jc w:val="center"/>
            </w:pPr>
            <w:r>
              <w:rPr>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Monthly Cost</w:t>
            </w:r>
          </w:p>
        </w:tc>
        <w:tc>
          <w:tcPr>
            <w:tcW w:type="dxa" w:w="2387"/>
            <w:tcBorders>
              <w:top w:val="single" w:color="CCCCCC" w:sz="1"/>
              <w:left w:val="single" w:color="CCCCCC" w:sz="1"/>
              <w:bottom w:val="single" w:color="CCCCCC" w:sz="1"/>
              <w:right w:val="single" w:color="CCCCCC" w:sz="1"/>
            </w:tcBorders>
            <w:shd/>
            <w:tcMar>
              <w:top w:type="dxa" w:w="60"/>
              <w:left w:type="dxa" w:w="100"/>
              <w:bottom w:type="dxa" w:w="60"/>
              <w:right w:type="dxa" w:w="100"/>
            </w:tcMar>
          </w:tcPr>
          <w:p>
            <w:pPr>
              <w:jc w:val="center"/>
            </w:pPr>
            <w:r>
              <w:rPr>
                <w:sz w:val="20"/>
                <w:szCs w:val="20"/>
              </w:rPr>
              <w:t xml:space="preserve">Electricity only</w:t>
            </w:r>
          </w:p>
        </w:tc>
        <w:tc>
          <w:tcPr>
            <w:tcW w:type="dxa" w:w="2387"/>
            <w:tcBorders>
              <w:top w:val="single" w:color="CCCCCC" w:sz="1"/>
              <w:left w:val="single" w:color="CCCCCC" w:sz="1"/>
              <w:bottom w:val="single" w:color="CCCCCC" w:sz="1"/>
              <w:right w:val="single" w:color="CCCCCC" w:sz="1"/>
            </w:tcBorders>
            <w:shd/>
            <w:tcMar>
              <w:top w:type="dxa" w:w="60"/>
              <w:left w:type="dxa" w:w="100"/>
              <w:bottom w:type="dxa" w:w="60"/>
              <w:right w:type="dxa" w:w="100"/>
            </w:tcMar>
          </w:tcPr>
          <w:p>
            <w:pPr>
              <w:jc w:val="center"/>
            </w:pPr>
            <w:r>
              <w:rPr>
                <w:sz w:val="20"/>
                <w:szCs w:val="20"/>
              </w:rPr>
              <w:t xml:space="preserve">USD 15–35</w:t>
            </w:r>
          </w:p>
        </w:tc>
        <w:tc>
          <w:tcPr>
            <w:tcW w:type="dxa" w:w="2386"/>
            <w:tcBorders>
              <w:top w:val="single" w:color="CCCCCC" w:sz="1"/>
              <w:left w:val="single" w:color="CCCCCC" w:sz="1"/>
              <w:bottom w:val="single" w:color="CCCCCC" w:sz="1"/>
              <w:right w:val="single" w:color="CCCCCC" w:sz="1"/>
            </w:tcBorders>
            <w:shd/>
            <w:tcMar>
              <w:top w:type="dxa" w:w="60"/>
              <w:left w:type="dxa" w:w="100"/>
              <w:bottom w:type="dxa" w:w="60"/>
              <w:right w:type="dxa" w:w="100"/>
            </w:tcMar>
          </w:tcPr>
          <w:p>
            <w:pPr>
              <w:jc w:val="center"/>
            </w:pPr>
            <w:r>
              <w:rPr>
                <w:sz w:val="20"/>
                <w:szCs w:val="20"/>
              </w:rPr>
              <w:t xml:space="preserve">USD 365</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vCPU</w:t>
            </w:r>
          </w:p>
        </w:tc>
        <w:tc>
          <w:tcPr>
            <w:tcW w:type="dxa" w:w="2387"/>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jc w:val="center"/>
            </w:pPr>
            <w:r>
              <w:rPr>
                <w:sz w:val="20"/>
                <w:szCs w:val="20"/>
              </w:rPr>
              <w:t xml:space="preserve">2-core physical</w:t>
            </w:r>
          </w:p>
        </w:tc>
        <w:tc>
          <w:tcPr>
            <w:tcW w:type="dxa" w:w="2387"/>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jc w:val="center"/>
            </w:pPr>
            <w:r>
              <w:rPr>
                <w:sz w:val="20"/>
                <w:szCs w:val="20"/>
              </w:rPr>
              <w:t xml:space="preserve">2 vCPU</w:t>
            </w:r>
          </w:p>
        </w:tc>
        <w:tc>
          <w:tcPr>
            <w:tcW w:type="dxa" w:w="238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jc w:val="center"/>
            </w:pPr>
            <w:r>
              <w:rPr>
                <w:sz w:val="20"/>
                <w:szCs w:val="20"/>
              </w:rPr>
              <w:t xml:space="preserve">2 vCPU</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RAM</w:t>
            </w:r>
          </w:p>
        </w:tc>
        <w:tc>
          <w:tcPr>
            <w:tcW w:type="dxa" w:w="2387"/>
            <w:tcBorders>
              <w:top w:val="single" w:color="CCCCCC" w:sz="1"/>
              <w:left w:val="single" w:color="CCCCCC" w:sz="1"/>
              <w:bottom w:val="single" w:color="CCCCCC" w:sz="1"/>
              <w:right w:val="single" w:color="CCCCCC" w:sz="1"/>
            </w:tcBorders>
            <w:shd/>
            <w:tcMar>
              <w:top w:type="dxa" w:w="60"/>
              <w:left w:type="dxa" w:w="100"/>
              <w:bottom w:type="dxa" w:w="60"/>
              <w:right w:type="dxa" w:w="100"/>
            </w:tcMar>
          </w:tcPr>
          <w:p>
            <w:pPr>
              <w:jc w:val="center"/>
            </w:pPr>
            <w:r>
              <w:rPr>
                <w:sz w:val="20"/>
                <w:szCs w:val="20"/>
              </w:rPr>
              <w:t xml:space="preserve">8 GB</w:t>
            </w:r>
          </w:p>
        </w:tc>
        <w:tc>
          <w:tcPr>
            <w:tcW w:type="dxa" w:w="2387"/>
            <w:tcBorders>
              <w:top w:val="single" w:color="CCCCCC" w:sz="1"/>
              <w:left w:val="single" w:color="CCCCCC" w:sz="1"/>
              <w:bottom w:val="single" w:color="CCCCCC" w:sz="1"/>
              <w:right w:val="single" w:color="CCCCCC" w:sz="1"/>
            </w:tcBorders>
            <w:shd/>
            <w:tcMar>
              <w:top w:type="dxa" w:w="60"/>
              <w:left w:type="dxa" w:w="100"/>
              <w:bottom w:type="dxa" w:w="60"/>
              <w:right w:type="dxa" w:w="100"/>
            </w:tcMar>
          </w:tcPr>
          <w:p>
            <w:pPr>
              <w:jc w:val="center"/>
            </w:pPr>
            <w:r>
              <w:rPr>
                <w:sz w:val="20"/>
                <w:szCs w:val="20"/>
              </w:rPr>
              <w:t xml:space="preserve">8 GB</w:t>
            </w:r>
          </w:p>
        </w:tc>
        <w:tc>
          <w:tcPr>
            <w:tcW w:type="dxa" w:w="2386"/>
            <w:tcBorders>
              <w:top w:val="single" w:color="CCCCCC" w:sz="1"/>
              <w:left w:val="single" w:color="CCCCCC" w:sz="1"/>
              <w:bottom w:val="single" w:color="CCCCCC" w:sz="1"/>
              <w:right w:val="single" w:color="CCCCCC" w:sz="1"/>
            </w:tcBorders>
            <w:shd/>
            <w:tcMar>
              <w:top w:type="dxa" w:w="60"/>
              <w:left w:type="dxa" w:w="100"/>
              <w:bottom w:type="dxa" w:w="60"/>
              <w:right w:type="dxa" w:w="100"/>
            </w:tcMar>
          </w:tcPr>
          <w:p>
            <w:pPr>
              <w:jc w:val="center"/>
            </w:pPr>
            <w:r>
              <w:rPr>
                <w:sz w:val="20"/>
                <w:szCs w:val="20"/>
              </w:rPr>
              <w:t xml:space="preserve">4 GB (quoted)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Storage</w:t>
            </w:r>
          </w:p>
        </w:tc>
        <w:tc>
          <w:tcPr>
            <w:tcW w:type="dxa" w:w="2387"/>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jc w:val="center"/>
            </w:pPr>
            <w:r>
              <w:rPr>
                <w:sz w:val="20"/>
                <w:szCs w:val="20"/>
              </w:rPr>
              <w:t xml:space="preserve">2 TB SSD</w:t>
            </w:r>
          </w:p>
        </w:tc>
        <w:tc>
          <w:tcPr>
            <w:tcW w:type="dxa" w:w="2387"/>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jc w:val="center"/>
            </w:pPr>
            <w:r>
              <w:rPr>
                <w:sz w:val="20"/>
                <w:szCs w:val="20"/>
              </w:rPr>
              <w:t xml:space="preserve">Up to 200 GB NVMe</w:t>
            </w:r>
          </w:p>
        </w:tc>
        <w:tc>
          <w:tcPr>
            <w:tcW w:type="dxa" w:w="238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jc w:val="center"/>
            </w:pPr>
            <w:r>
              <w:rPr>
                <w:sz w:val="20"/>
                <w:szCs w:val="20"/>
              </w:rPr>
              <w:t xml:space="preserve">2 TB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Data Location</w:t>
            </w:r>
          </w:p>
        </w:tc>
        <w:tc>
          <w:tcPr>
            <w:tcW w:type="dxa" w:w="2387"/>
            <w:tcBorders>
              <w:top w:val="single" w:color="CCCCCC" w:sz="1"/>
              <w:left w:val="single" w:color="CCCCCC" w:sz="1"/>
              <w:bottom w:val="single" w:color="CCCCCC" w:sz="1"/>
              <w:right w:val="single" w:color="CCCCCC" w:sz="1"/>
            </w:tcBorders>
            <w:shd/>
            <w:tcMar>
              <w:top w:type="dxa" w:w="60"/>
              <w:left w:type="dxa" w:w="100"/>
              <w:bottom w:type="dxa" w:w="60"/>
              <w:right w:type="dxa" w:w="100"/>
            </w:tcMar>
          </w:tcPr>
          <w:p>
            <w:pPr>
              <w:jc w:val="center"/>
            </w:pPr>
            <w:r>
              <w:rPr>
                <w:sz w:val="20"/>
                <w:szCs w:val="20"/>
              </w:rPr>
              <w:t xml:space="preserve">On-premise (office)</w:t>
            </w:r>
          </w:p>
        </w:tc>
        <w:tc>
          <w:tcPr>
            <w:tcW w:type="dxa" w:w="2387"/>
            <w:tcBorders>
              <w:top w:val="single" w:color="CCCCCC" w:sz="1"/>
              <w:left w:val="single" w:color="CCCCCC" w:sz="1"/>
              <w:bottom w:val="single" w:color="CCCCCC" w:sz="1"/>
              <w:right w:val="single" w:color="CCCCCC" w:sz="1"/>
            </w:tcBorders>
            <w:shd/>
            <w:tcMar>
              <w:top w:type="dxa" w:w="60"/>
              <w:left w:type="dxa" w:w="100"/>
              <w:bottom w:type="dxa" w:w="60"/>
              <w:right w:type="dxa" w:w="100"/>
            </w:tcMar>
          </w:tcPr>
          <w:p>
            <w:pPr>
              <w:jc w:val="center"/>
            </w:pPr>
            <w:r>
              <w:rPr>
                <w:sz w:val="20"/>
                <w:szCs w:val="20"/>
              </w:rPr>
              <w:t xml:space="preserve">Outside Pakistan</w:t>
            </w:r>
          </w:p>
        </w:tc>
        <w:tc>
          <w:tcPr>
            <w:tcW w:type="dxa" w:w="2386"/>
            <w:tcBorders>
              <w:top w:val="single" w:color="CCCCCC" w:sz="1"/>
              <w:left w:val="single" w:color="CCCCCC" w:sz="1"/>
              <w:bottom w:val="single" w:color="CCCCCC" w:sz="1"/>
              <w:right w:val="single" w:color="CCCCCC" w:sz="1"/>
            </w:tcBorders>
            <w:shd/>
            <w:tcMar>
              <w:top w:type="dxa" w:w="60"/>
              <w:left w:type="dxa" w:w="100"/>
              <w:bottom w:type="dxa" w:w="60"/>
              <w:right w:type="dxa" w:w="100"/>
            </w:tcMar>
          </w:tcPr>
          <w:p>
            <w:pPr>
              <w:jc w:val="center"/>
            </w:pPr>
            <w:r>
              <w:rPr>
                <w:sz w:val="20"/>
                <w:szCs w:val="20"/>
              </w:rPr>
              <w:t xml:space="preserve">Pakistan (Tier-III)</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SLA / Uptime</w:t>
            </w:r>
          </w:p>
        </w:tc>
        <w:tc>
          <w:tcPr>
            <w:tcW w:type="dxa" w:w="2387"/>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jc w:val="center"/>
            </w:pPr>
            <w:r>
              <w:rPr>
                <w:sz w:val="20"/>
                <w:szCs w:val="20"/>
              </w:rPr>
              <w:t xml:space="preserve">None (self-managed)</w:t>
            </w:r>
          </w:p>
        </w:tc>
        <w:tc>
          <w:tcPr>
            <w:tcW w:type="dxa" w:w="2387"/>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jc w:val="center"/>
            </w:pPr>
            <w:r>
              <w:rPr>
                <w:sz w:val="20"/>
                <w:szCs w:val="20"/>
              </w:rPr>
              <w:t xml:space="preserve">99.9%</w:t>
            </w:r>
          </w:p>
        </w:tc>
        <w:tc>
          <w:tcPr>
            <w:tcW w:type="dxa" w:w="238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jc w:val="center"/>
            </w:pPr>
            <w:r>
              <w:rPr>
                <w:sz w:val="20"/>
                <w:szCs w:val="20"/>
              </w:rPr>
              <w:t xml:space="preserve">99.9%+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Compliance (SBP)</w:t>
            </w:r>
          </w:p>
        </w:tc>
        <w:tc>
          <w:tcPr>
            <w:tcW w:type="dxa" w:w="2387"/>
            <w:tcBorders>
              <w:top w:val="single" w:color="CCCCCC" w:sz="1"/>
              <w:left w:val="single" w:color="CCCCCC" w:sz="1"/>
              <w:bottom w:val="single" w:color="CCCCCC" w:sz="1"/>
              <w:right w:val="single" w:color="CCCCCC" w:sz="1"/>
            </w:tcBorders>
            <w:shd/>
            <w:tcMar>
              <w:top w:type="dxa" w:w="60"/>
              <w:left w:type="dxa" w:w="100"/>
              <w:bottom w:type="dxa" w:w="60"/>
              <w:right w:type="dxa" w:w="100"/>
            </w:tcMar>
          </w:tcPr>
          <w:p>
            <w:pPr>
              <w:jc w:val="center"/>
            </w:pPr>
            <w:r>
              <w:rPr>
                <w:sz w:val="20"/>
                <w:szCs w:val="20"/>
              </w:rPr>
              <w:t xml:space="preserve">Self-managed</w:t>
            </w:r>
          </w:p>
        </w:tc>
        <w:tc>
          <w:tcPr>
            <w:tcW w:type="dxa" w:w="2387"/>
            <w:tcBorders>
              <w:top w:val="single" w:color="CCCCCC" w:sz="1"/>
              <w:left w:val="single" w:color="CCCCCC" w:sz="1"/>
              <w:bottom w:val="single" w:color="CCCCCC" w:sz="1"/>
              <w:right w:val="single" w:color="CCCCCC" w:sz="1"/>
            </w:tcBorders>
            <w:shd/>
            <w:tcMar>
              <w:top w:type="dxa" w:w="60"/>
              <w:left w:type="dxa" w:w="100"/>
              <w:bottom w:type="dxa" w:w="60"/>
              <w:right w:type="dxa" w:w="100"/>
            </w:tcMar>
          </w:tcPr>
          <w:p>
            <w:pPr>
              <w:jc w:val="center"/>
            </w:pPr>
            <w:r>
              <w:rPr>
                <w:sz w:val="20"/>
                <w:szCs w:val="20"/>
              </w:rPr>
              <w:t xml:space="preserve">No</w:t>
            </w:r>
          </w:p>
        </w:tc>
        <w:tc>
          <w:tcPr>
            <w:tcW w:type="dxa" w:w="2386"/>
            <w:tcBorders>
              <w:top w:val="single" w:color="CCCCCC" w:sz="1"/>
              <w:left w:val="single" w:color="CCCCCC" w:sz="1"/>
              <w:bottom w:val="single" w:color="CCCCCC" w:sz="1"/>
              <w:right w:val="single" w:color="CCCCCC" w:sz="1"/>
            </w:tcBorders>
            <w:shd/>
            <w:tcMar>
              <w:top w:type="dxa" w:w="60"/>
              <w:left w:type="dxa" w:w="100"/>
              <w:bottom w:type="dxa" w:w="60"/>
              <w:right w:type="dxa" w:w="100"/>
            </w:tcMar>
          </w:tcPr>
          <w:p>
            <w:pPr>
              <w:jc w:val="center"/>
            </w:pPr>
            <w:r>
              <w:rPr>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ISO / PCI DSS</w:t>
            </w:r>
          </w:p>
        </w:tc>
        <w:tc>
          <w:tcPr>
            <w:tcW w:type="dxa" w:w="2387"/>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jc w:val="center"/>
            </w:pPr>
            <w:r>
              <w:rPr>
                <w:sz w:val="20"/>
                <w:szCs w:val="20"/>
              </w:rPr>
              <w:t xml:space="preserve">No</w:t>
            </w:r>
          </w:p>
        </w:tc>
        <w:tc>
          <w:tcPr>
            <w:tcW w:type="dxa" w:w="2387"/>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jc w:val="center"/>
            </w:pPr>
            <w:r>
              <w:rPr>
                <w:sz w:val="20"/>
                <w:szCs w:val="20"/>
              </w:rPr>
              <w:t xml:space="preserve">No</w:t>
            </w:r>
          </w:p>
        </w:tc>
        <w:tc>
          <w:tcPr>
            <w:tcW w:type="dxa" w:w="238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jc w:val="center"/>
            </w:pPr>
            <w:r>
              <w:rPr>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Disaster Recovery</w:t>
            </w:r>
          </w:p>
        </w:tc>
        <w:tc>
          <w:tcPr>
            <w:tcW w:type="dxa" w:w="2387"/>
            <w:tcBorders>
              <w:top w:val="single" w:color="CCCCCC" w:sz="1"/>
              <w:left w:val="single" w:color="CCCCCC" w:sz="1"/>
              <w:bottom w:val="single" w:color="CCCCCC" w:sz="1"/>
              <w:right w:val="single" w:color="CCCCCC" w:sz="1"/>
            </w:tcBorders>
            <w:shd/>
            <w:tcMar>
              <w:top w:type="dxa" w:w="60"/>
              <w:left w:type="dxa" w:w="100"/>
              <w:bottom w:type="dxa" w:w="60"/>
              <w:right w:type="dxa" w:w="100"/>
            </w:tcMar>
          </w:tcPr>
          <w:p>
            <w:pPr>
              <w:jc w:val="center"/>
            </w:pPr>
            <w:r>
              <w:rPr>
                <w:sz w:val="20"/>
                <w:szCs w:val="20"/>
              </w:rPr>
              <w:t xml:space="preserve">Manual only</w:t>
            </w:r>
          </w:p>
        </w:tc>
        <w:tc>
          <w:tcPr>
            <w:tcW w:type="dxa" w:w="2387"/>
            <w:tcBorders>
              <w:top w:val="single" w:color="CCCCCC" w:sz="1"/>
              <w:left w:val="single" w:color="CCCCCC" w:sz="1"/>
              <w:bottom w:val="single" w:color="CCCCCC" w:sz="1"/>
              <w:right w:val="single" w:color="CCCCCC" w:sz="1"/>
            </w:tcBorders>
            <w:shd/>
            <w:tcMar>
              <w:top w:type="dxa" w:w="60"/>
              <w:left w:type="dxa" w:w="100"/>
              <w:bottom w:type="dxa" w:w="60"/>
              <w:right w:type="dxa" w:w="100"/>
            </w:tcMar>
          </w:tcPr>
          <w:p>
            <w:pPr>
              <w:jc w:val="center"/>
            </w:pPr>
            <w:r>
              <w:rPr>
                <w:sz w:val="20"/>
                <w:szCs w:val="20"/>
              </w:rPr>
              <w:t xml:space="preserve">Add-on available</w:t>
            </w:r>
          </w:p>
        </w:tc>
        <w:tc>
          <w:tcPr>
            <w:tcW w:type="dxa" w:w="2386"/>
            <w:tcBorders>
              <w:top w:val="single" w:color="CCCCCC" w:sz="1"/>
              <w:left w:val="single" w:color="CCCCCC" w:sz="1"/>
              <w:bottom w:val="single" w:color="CCCCCC" w:sz="1"/>
              <w:right w:val="single" w:color="CCCCCC" w:sz="1"/>
            </w:tcBorders>
            <w:shd/>
            <w:tcMar>
              <w:top w:type="dxa" w:w="60"/>
              <w:left w:type="dxa" w:w="100"/>
              <w:bottom w:type="dxa" w:w="60"/>
              <w:right w:type="dxa" w:w="100"/>
            </w:tcMar>
          </w:tcPr>
          <w:p>
            <w:pPr>
              <w:jc w:val="center"/>
            </w:pPr>
            <w:r>
              <w:rPr>
                <w:sz w:val="20"/>
                <w:szCs w:val="20"/>
              </w:rPr>
              <w:t xml:space="preserve">Multi-AZ built-in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Scalability</w:t>
            </w:r>
          </w:p>
        </w:tc>
        <w:tc>
          <w:tcPr>
            <w:tcW w:type="dxa" w:w="2387"/>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jc w:val="center"/>
            </w:pPr>
            <w:r>
              <w:rPr>
                <w:sz w:val="20"/>
                <w:szCs w:val="20"/>
              </w:rPr>
              <w:t xml:space="preserve">Hardware upgrade</w:t>
            </w:r>
          </w:p>
        </w:tc>
        <w:tc>
          <w:tcPr>
            <w:tcW w:type="dxa" w:w="2387"/>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jc w:val="center"/>
            </w:pPr>
            <w:r>
              <w:rPr>
                <w:sz w:val="20"/>
                <w:szCs w:val="20"/>
              </w:rPr>
              <w:t xml:space="preserve">Instant (click)</w:t>
            </w:r>
          </w:p>
        </w:tc>
        <w:tc>
          <w:tcPr>
            <w:tcW w:type="dxa" w:w="238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jc w:val="center"/>
            </w:pPr>
            <w:r>
              <w:rPr>
                <w:sz w:val="20"/>
                <w:szCs w:val="20"/>
              </w:rPr>
              <w:t xml:space="preserve">On-demand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24/7 Support</w:t>
            </w:r>
          </w:p>
        </w:tc>
        <w:tc>
          <w:tcPr>
            <w:tcW w:type="dxa" w:w="2387"/>
            <w:tcBorders>
              <w:top w:val="single" w:color="CCCCCC" w:sz="1"/>
              <w:left w:val="single" w:color="CCCCCC" w:sz="1"/>
              <w:bottom w:val="single" w:color="CCCCCC" w:sz="1"/>
              <w:right w:val="single" w:color="CCCCCC" w:sz="1"/>
            </w:tcBorders>
            <w:shd/>
            <w:tcMar>
              <w:top w:type="dxa" w:w="60"/>
              <w:left w:type="dxa" w:w="100"/>
              <w:bottom w:type="dxa" w:w="60"/>
              <w:right w:type="dxa" w:w="100"/>
            </w:tcMar>
          </w:tcPr>
          <w:p>
            <w:pPr>
              <w:jc w:val="center"/>
            </w:pPr>
            <w:r>
              <w:rPr>
                <w:sz w:val="20"/>
                <w:szCs w:val="20"/>
              </w:rPr>
              <w:t xml:space="preserve">No (internal IT)</w:t>
            </w:r>
          </w:p>
        </w:tc>
        <w:tc>
          <w:tcPr>
            <w:tcW w:type="dxa" w:w="2387"/>
            <w:tcBorders>
              <w:top w:val="single" w:color="CCCCCC" w:sz="1"/>
              <w:left w:val="single" w:color="CCCCCC" w:sz="1"/>
              <w:bottom w:val="single" w:color="CCCCCC" w:sz="1"/>
              <w:right w:val="single" w:color="CCCCCC" w:sz="1"/>
            </w:tcBorders>
            <w:shd/>
            <w:tcMar>
              <w:top w:type="dxa" w:w="60"/>
              <w:left w:type="dxa" w:w="100"/>
              <w:bottom w:type="dxa" w:w="60"/>
              <w:right w:type="dxa" w:w="100"/>
            </w:tcMar>
          </w:tcPr>
          <w:p>
            <w:pPr>
              <w:jc w:val="center"/>
            </w:pPr>
            <w:r>
              <w:rPr>
                <w:sz w:val="20"/>
                <w:szCs w:val="20"/>
              </w:rPr>
              <w:t xml:space="preserve">Limited</w:t>
            </w:r>
          </w:p>
        </w:tc>
        <w:tc>
          <w:tcPr>
            <w:tcW w:type="dxa" w:w="2386"/>
            <w:tcBorders>
              <w:top w:val="single" w:color="CCCCCC" w:sz="1"/>
              <w:left w:val="single" w:color="CCCCCC" w:sz="1"/>
              <w:bottom w:val="single" w:color="CCCCCC" w:sz="1"/>
              <w:right w:val="single" w:color="CCCCCC" w:sz="1"/>
            </w:tcBorders>
            <w:shd/>
            <w:tcMar>
              <w:top w:type="dxa" w:w="60"/>
              <w:left w:type="dxa" w:w="100"/>
              <w:bottom w:type="dxa" w:w="60"/>
              <w:right w:type="dxa" w:w="100"/>
            </w:tcMar>
          </w:tcPr>
          <w:p>
            <w:pPr>
              <w:jc w:val="center"/>
            </w:pPr>
            <w:r>
              <w:rPr>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20"/>
                <w:szCs w:val="20"/>
              </w:rPr>
              <w:t xml:space="preserve">Bandwidth Limit</w:t>
            </w:r>
          </w:p>
        </w:tc>
        <w:tc>
          <w:tcPr>
            <w:tcW w:type="dxa" w:w="2387"/>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jc w:val="center"/>
            </w:pPr>
            <w:r>
              <w:rPr>
                <w:sz w:val="20"/>
                <w:szCs w:val="20"/>
              </w:rPr>
              <w:t xml:space="preserve">None (local)</w:t>
            </w:r>
          </w:p>
        </w:tc>
        <w:tc>
          <w:tcPr>
            <w:tcW w:type="dxa" w:w="2387"/>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jc w:val="center"/>
            </w:pPr>
            <w:r>
              <w:rPr>
                <w:sz w:val="20"/>
                <w:szCs w:val="20"/>
              </w:rPr>
              <w:t xml:space="preserve">Shared / capped</w:t>
            </w:r>
          </w:p>
        </w:tc>
        <w:tc>
          <w:tcPr>
            <w:tcW w:type="dxa" w:w="238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pPr>
              <w:jc w:val="center"/>
            </w:pPr>
            <w:r>
              <w:rPr>
                <w:sz w:val="20"/>
                <w:szCs w:val="20"/>
              </w:rPr>
              <w:t xml:space="preserve">20 Mbps included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Contract</w:t>
            </w:r>
          </w:p>
        </w:tc>
        <w:tc>
          <w:tcPr>
            <w:tcW w:type="dxa" w:w="2387"/>
            <w:tcBorders>
              <w:top w:val="single" w:color="CCCCCC" w:sz="1"/>
              <w:left w:val="single" w:color="CCCCCC" w:sz="1"/>
              <w:bottom w:val="single" w:color="CCCCCC" w:sz="1"/>
              <w:right w:val="single" w:color="CCCCCC" w:sz="1"/>
            </w:tcBorders>
            <w:shd/>
            <w:tcMar>
              <w:top w:type="dxa" w:w="60"/>
              <w:left w:type="dxa" w:w="100"/>
              <w:bottom w:type="dxa" w:w="60"/>
              <w:right w:type="dxa" w:w="100"/>
            </w:tcMar>
          </w:tcPr>
          <w:p>
            <w:pPr>
              <w:jc w:val="center"/>
            </w:pPr>
            <w:r>
              <w:rPr>
                <w:sz w:val="20"/>
                <w:szCs w:val="20"/>
              </w:rPr>
              <w:t xml:space="preserve">None</w:t>
            </w:r>
          </w:p>
        </w:tc>
        <w:tc>
          <w:tcPr>
            <w:tcW w:type="dxa" w:w="2387"/>
            <w:tcBorders>
              <w:top w:val="single" w:color="CCCCCC" w:sz="1"/>
              <w:left w:val="single" w:color="CCCCCC" w:sz="1"/>
              <w:bottom w:val="single" w:color="CCCCCC" w:sz="1"/>
              <w:right w:val="single" w:color="CCCCCC" w:sz="1"/>
            </w:tcBorders>
            <w:shd/>
            <w:tcMar>
              <w:top w:type="dxa" w:w="60"/>
              <w:left w:type="dxa" w:w="100"/>
              <w:bottom w:type="dxa" w:w="60"/>
              <w:right w:type="dxa" w:w="100"/>
            </w:tcMar>
          </w:tcPr>
          <w:p>
            <w:pPr>
              <w:jc w:val="center"/>
            </w:pPr>
            <w:r>
              <w:rPr>
                <w:sz w:val="20"/>
                <w:szCs w:val="20"/>
              </w:rPr>
              <w:t xml:space="preserve">Monthly / Annual</w:t>
            </w:r>
          </w:p>
        </w:tc>
        <w:tc>
          <w:tcPr>
            <w:tcW w:type="dxa" w:w="2386"/>
            <w:tcBorders>
              <w:top w:val="single" w:color="CCCCCC" w:sz="1"/>
              <w:left w:val="single" w:color="CCCCCC" w:sz="1"/>
              <w:bottom w:val="single" w:color="CCCCCC" w:sz="1"/>
              <w:right w:val="single" w:color="CCCCCC" w:sz="1"/>
            </w:tcBorders>
            <w:shd/>
            <w:tcMar>
              <w:top w:type="dxa" w:w="60"/>
              <w:left w:type="dxa" w:w="100"/>
              <w:bottom w:type="dxa" w:w="60"/>
              <w:right w:type="dxa" w:w="100"/>
            </w:tcMar>
          </w:tcPr>
          <w:p>
            <w:pPr>
              <w:jc w:val="center"/>
            </w:pPr>
            <w:r>
              <w:rPr>
                <w:sz w:val="20"/>
                <w:szCs w:val="20"/>
              </w:rPr>
              <w:t xml:space="preserve">1 Year</w:t>
            </w:r>
          </w:p>
        </w:tc>
      </w:tr>
    </w:tbl>
    <w:p>
      <w:pPr>
        <w:spacing w:after="120" w:before="60"/>
      </w:pPr>
    </w:p>
    <w:p>
      <w:pPr>
        <w:pBdr>
          <w:bottom w:val="single" w:color="E8A020" w:sz="6" w:space="1"/>
        </w:pBdr>
        <w:spacing w:after="200" w:before="200"/>
      </w:pPr>
    </w:p>
    <w:p>
      <w:pPr>
        <w:pStyle w:val="Heading1"/>
        <w:spacing w:after="120" w:before="360"/>
      </w:pPr>
      <w:r>
        <w:rPr>
          <w:b/>
          <w:bCs/>
          <w:color w:val="1F3864"/>
          <w:sz w:val="32"/>
          <w:szCs w:val="32"/>
        </w:rPr>
        <w:t xml:space="preserve">7. Recommendation</w:t>
      </w:r>
    </w:p>
    <w:p>
      <w:pPr>
        <w:spacing w:after="60" w:before="60"/>
      </w:pPr>
      <w:r>
        <w:rPr>
          <w:sz w:val="22"/>
          <w:szCs w:val="22"/>
        </w:rPr>
        <w:t xml:space="preserve">Based on the evaluation above, the following guidance is provided:</w:t>
      </w:r>
    </w:p>
    <w:p>
      <w:pPr>
        <w:spacing w:after="40" w:before="80"/>
      </w:pPr>
    </w:p>
    <w:p>
      <w:r>
        <w:rPr>
          <w:b/>
          <w:bCs/>
          <w:color w:val="1F3864"/>
          <w:sz w:val="22"/>
          <w:szCs w:val="22"/>
        </w:rPr>
        <w:t xml:space="preserve">Best for Budget-Conscious, Data-Sensitive Operations:</w:t>
      </w:r>
    </w:p>
    <w:p>
      <w:pPr>
        <w:pStyle w:val="ListParagraph"/>
        <w:numPr>
          <w:ilvl w:val="0"/>
          <w:numId w:val="2"/>
        </w:numPr>
        <w:spacing w:after="40" w:before="40"/>
      </w:pPr>
      <w:r>
        <w:rPr>
          <w:sz w:val="22"/>
          <w:szCs w:val="22"/>
        </w:rPr>
        <w:t xml:space="preserve">Custom On-Premise Server. One-time cost, full control, and no recurring fees. Suitable if you have reliable power (UPS/generator), dedicated IT staff, and a small user base.</w:t>
      </w:r>
    </w:p>
    <w:p>
      <w:pPr>
        <w:spacing w:after="40" w:before="80"/>
      </w:pPr>
    </w:p>
    <w:p>
      <w:r>
        <w:rPr>
          <w:b/>
          <w:bCs/>
          <w:color w:val="1F3864"/>
          <w:sz w:val="22"/>
          <w:szCs w:val="22"/>
        </w:rPr>
        <w:t xml:space="preserve">Best for Quick Deployment at Low Monthly Cost:</w:t>
      </w:r>
    </w:p>
    <w:p>
      <w:pPr>
        <w:pStyle w:val="ListParagraph"/>
        <w:numPr>
          <w:ilvl w:val="0"/>
          <w:numId w:val="2"/>
        </w:numPr>
        <w:spacing w:after="40" w:before="40"/>
      </w:pPr>
      <w:r>
        <w:rPr>
          <w:sz w:val="22"/>
          <w:szCs w:val="22"/>
        </w:rPr>
        <w:t xml:space="preserve">Hostinger VPS. Ideal for non-sensitive workloads, websites, or development environments. Not recommended if SBP compliance or data residency within Pakistan is required.</w:t>
      </w:r>
    </w:p>
    <w:p>
      <w:pPr>
        <w:spacing w:after="40" w:before="80"/>
      </w:pPr>
    </w:p>
    <w:p>
      <w:r>
        <w:rPr>
          <w:b/>
          <w:bCs/>
          <w:color w:val="1F3864"/>
          <w:sz w:val="22"/>
          <w:szCs w:val="22"/>
        </w:rPr>
        <w:t xml:space="preserve">Best for Enterprise, Compliance &amp; Reliability:</w:t>
      </w:r>
    </w:p>
    <w:p>
      <w:pPr>
        <w:pStyle w:val="ListParagraph"/>
        <w:numPr>
          <w:ilvl w:val="0"/>
          <w:numId w:val="2"/>
        </w:numPr>
        <w:spacing w:after="40" w:before="40"/>
      </w:pPr>
      <w:r>
        <w:rPr>
          <w:sz w:val="22"/>
          <w:szCs w:val="22"/>
        </w:rPr>
        <w:t xml:space="preserve">Garaj VDC by Jazz. The only option that is Pakistan-hosted, ISO 27001 &amp; PCI DSS certified, and backed by a Tier-III SLA. Strongly recommended for financial, healthcare, or regulated-sector applications. Note: RAM should be negotiated up to 8 GB to meet the full specification requirement.</w:t>
      </w:r>
    </w:p>
    <w:p>
      <w:pPr>
        <w:spacing w:after="120" w:before="60"/>
      </w:pPr>
    </w:p>
    <w:p>
      <w:pPr>
        <w:pBdr>
          <w:bottom w:val="single" w:color="E8A020" w:sz="6" w:space="1"/>
        </w:pBdr>
        <w:spacing w:after="200" w:before="200"/>
      </w:pPr>
    </w:p>
    <w:p>
      <w:pPr>
        <w:pStyle w:val="Heading1"/>
        <w:spacing w:after="120" w:before="360"/>
      </w:pPr>
      <w:r>
        <w:rPr>
          <w:b/>
          <w:bCs/>
          <w:color w:val="1F3864"/>
          <w:sz w:val="32"/>
          <w:szCs w:val="32"/>
        </w:rPr>
        <w:t xml:space="preserve">8. Key Terms — Garaj VDC Quotation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Monthly Charge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USD 365 + applicable taxes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Payment Term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Monthly Upfront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Contract Duration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 Year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Quote Validity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7 days from date of issue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Currency Conversion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USD to PKR at prevailing SBP/NBP rate on invoice date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Credit Validation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Proposal subject to credit approval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Out-of-Scope Items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Billed separately over and above quoted price</w:t>
            </w:r>
          </w:p>
        </w:tc>
      </w:tr>
    </w:tbl>
    <w:p>
      <w:pPr>
        <w:spacing w:after="120" w:before="120"/>
      </w:pPr>
    </w:p>
    <w:p>
      <w:pPr>
        <w:pBdr>
          <w:bottom w:val="single" w:color="E8A020" w:sz="6" w:space="1"/>
        </w:pBdr>
        <w:spacing w:after="200" w:before="200"/>
      </w:pPr>
    </w:p>
    <w:p>
      <w:pPr>
        <w:spacing w:after="60" w:before="240"/>
        <w:jc w:val="center"/>
      </w:pPr>
      <w:r>
        <w:rPr>
          <w:i/>
          <w:iCs/>
          <w:color w:val="888888"/>
          <w:sz w:val="18"/>
          <w:szCs w:val="18"/>
        </w:rPr>
        <w:t xml:space="preserve">GSL Pakistan  |  May 2026</w:t>
      </w:r>
    </w:p>
    <w:p>
      <w:pPr>
        <w:spacing w:after="0" w:before="0"/>
        <w:jc w:val="center"/>
      </w:pPr>
      <w:r>
        <w:rPr>
          <w:i/>
          <w:iCs/>
          <w:color w:val="888888"/>
          <w:sz w:val="18"/>
          <w:szCs w:val="18"/>
        </w:rPr>
        <w:t xml:space="preserve">This document is for internal evaluation purposes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E8A0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2026-05-16T09:48:55.544Z</dcterms:created>
  <dcterms:modified xsi:type="dcterms:W3CDTF">2026-05-16T09:48:55.544Z</dcterms:modified>
</cp:coreProperties>
</file>

<file path=docProps/custom.xml><?xml version="1.0" encoding="utf-8"?>
<Properties xmlns="http://schemas.openxmlformats.org/officeDocument/2006/custom-properties" xmlns:vt="http://schemas.openxmlformats.org/officeDocument/2006/docPropsVTypes"/>
</file>