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某钢厂焦炭反应性测定装置投标</w:t>
      </w:r>
    </w:p>
    <w:p>
      <w:pPr>
        <w:pStyle w:val="Subtitle"/>
      </w:pPr>
      <w:r>
        <w:t xml:space="preserve">投标响应文件</w:t>
      </w:r>
    </w:p>
    <w:p/>
    <w:p>
      <w:pPr>
        <w:jc w:val="center"/>
      </w:pPr>
      <w:r>
        <w:t xml:space="preserve">投标人：鞍山星源达科技有限公司</w:t>
      </w:r>
    </w:p>
    <w:p>
      <w:pPr>
        <w:jc w:val="center"/>
      </w:pPr>
      <w:r>
        <w:t xml:space="preserve">招标方：是某钢厂</w:t>
      </w:r>
    </w:p>
    <w:p>
      <w:pPr>
        <w:jc w:val="center"/>
      </w:pPr>
      <w:r>
        <w:t xml:space="preserve">编制日期：2026-09-23</w:t>
      </w:r>
    </w:p>
    <w:p>
      <w:pPr>
        <w:jc w:val="center"/>
      </w:pPr>
      <w:r>
        <w:t xml:space="preserve">本文件由「智能投标工作平台」生成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before="12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（在 Word 中右键“更新域”即可生成正式目录）</w:t>
      </w:r>
      <w:r>
        <w:fldChar w:fldCharType="end"/>
      </w:r>
    </w:p>
    <w:p>
      <w:r>
        <w:br w:type="page"/>
      </w:r>
    </w:p>
    <w:p>
      <w:pPr>
        <w:pStyle w:val="Heading1"/>
      </w:pPr>
      <w:r>
        <w:t xml:space="preserve">1. 项目理解与需求分析</w:t>
      </w:r>
    </w:p>
    <w:p>
      <w:r>
        <w:t xml:space="preserve">针对是某钢厂《本次采购项目》的需求，我方深入理解了项目工况、产能目标与核心技术痛点。本项目属于冶金焦化行业工业产品类采购，需重点关注设备稳定性、检测精度与交付周期。</w:t>
      </w:r>
      <w:br/>
      <w:r>
        <w:t xml:space="preserve"/>
      </w:r>
      <w:br/>
      <w:r>
        <w:t xml:space="preserve">补充：给出关键实施步骤与责任界面，便于招标方评估可执行性。</w:t>
      </w:r>
    </w:p>
    <w:p>
      <w:pPr>
        <w:pStyle w:val="Heading1"/>
      </w:pPr>
      <w:r>
        <w:t xml:space="preserve">2. 产品总体技术方案</w:t>
      </w:r>
    </w:p>
    <w:p>
      <w:r>
        <w:t xml:space="preserve">本方案提供成套工业设备与技术路线：以模块化设计为基础，集成自动控温、数据采集与安全防护，确保长期连续运行可靠。核心部件选用成熟工业级器件，满足焦化现场高温、粉尘环境要求。</w:t>
      </w:r>
      <w:br/>
      <w:r>
        <w:t xml:space="preserve"/>
      </w:r>
      <w:br/>
      <w:r>
        <w:t xml:space="preserve">补充：给出关键实施步骤与责任界面，便于招标方评估可执行性。</w:t>
      </w:r>
    </w:p>
    <w:p>
      <w:pPr>
        <w:pStyle w:val="Heading1"/>
      </w:pPr>
      <w:r>
        <w:t xml:space="preserve">3. 关键技术参数与响应表</w:t>
      </w:r>
    </w:p>
    <w:p>
      <w:r>
        <w:t xml:space="preserve">下表逐条响应招标文件技术要求。凡优于招标要求的指标标注“正偏离”，等同标注“无偏离”，并附检测依据。具体参数见“技术偏离表”附表。</w:t>
      </w:r>
      <w:br/>
      <w:r>
        <w:t xml:space="preserve"/>
      </w:r>
      <w:br/>
      <w:r>
        <w:t xml:space="preserve">补充：给出关键实施步骤与责任界面，便于招标方评估可执行性。</w:t>
      </w:r>
    </w:p>
    <w:p>
      <w:pPr>
        <w:pStyle w:val="Heading1"/>
      </w:pPr>
      <w:r>
        <w:t xml:space="preserve">4. 执行标准与质量保障</w:t>
      </w:r>
    </w:p>
    <w:p>
      <w:r>
        <w:t xml:space="preserve">设备研制与验收严格依据国家标准：GB/T 4000 焦炭反应性及反应后强度；GB/T 220 煤对二氧化碳化学反应性；GB/T 5447 烟煤粘结指数；GB/T 1996 冶金焦炭 等。出厂前进行空载与负载联调，附第三方或厂内检测报告，质量追溯至每台设备。</w:t>
      </w:r>
      <w:br/>
      <w:r>
        <w:t xml:space="preserve"/>
      </w:r>
      <w:br/>
      <w:r>
        <w:t xml:space="preserve">补充：给出关键实施步骤与责任界面，便于招标方评估可执行性。</w:t>
      </w:r>
    </w:p>
    <w:p>
      <w:pPr>
        <w:pStyle w:val="Heading1"/>
      </w:pPr>
      <w:r>
        <w:t xml:space="preserve">5. 供货范围与进度计划</w:t>
      </w:r>
    </w:p>
    <w:p>
      <w:r>
        <w:t xml:space="preserve">供货范围涵盖主机、辅机、控制软件及备品备件。合同签订后按“设计—采购—生产—调试—验收”节点排产，详见“工期安排”附表，确保按期交货。</w:t>
      </w:r>
      <w:br/>
      <w:r>
        <w:t xml:space="preserve"/>
      </w:r>
      <w:br/>
      <w:r>
        <w:t xml:space="preserve">补充：给出关键实施步骤与责任界面，便于招标方评估可执行性。</w:t>
      </w:r>
    </w:p>
    <w:p>
      <w:pPr>
        <w:pStyle w:val="Heading1"/>
      </w:pPr>
      <w:r>
        <w:t xml:space="preserve">6. 安装调试与验收方案</w:t>
      </w:r>
    </w:p>
    <w:p>
      <w:r>
        <w:t xml:space="preserve">到货后由厂家工程师现场指导安装与管线对接，完成单机与联动调试，依据技术协议进行性能验收，签署验收单并移交全套技术资料。</w:t>
      </w:r>
      <w:br/>
      <w:r>
        <w:t xml:space="preserve"/>
      </w:r>
      <w:br/>
      <w:r>
        <w:t xml:space="preserve">补充：给出关键实施步骤与责任界面，便于招标方评估可执行性。</w:t>
      </w:r>
    </w:p>
    <w:p>
      <w:pPr>
        <w:pStyle w:val="Heading1"/>
      </w:pPr>
      <w:r>
        <w:t xml:space="preserve">7. 操作培训与技术交底</w:t>
      </w:r>
    </w:p>
    <w:p>
      <w:r>
        <w:t xml:space="preserve">验收前为招标方操作与维护人员提供系统培训，内容包括原理、操作、日常维护与常见故障处理，并提交培训签到与教材。</w:t>
      </w:r>
      <w:br/>
      <w:r>
        <w:t xml:space="preserve"/>
      </w:r>
      <w:br/>
      <w:r>
        <w:t xml:space="preserve">补充：给出关键实施步骤与责任界面，便于招标方评估可执行性。</w:t>
      </w:r>
    </w:p>
    <w:p>
      <w:pPr>
        <w:pStyle w:val="Heading1"/>
      </w:pPr>
      <w:r>
        <w:t xml:space="preserve">8. 售后服务与质保体系</w:t>
      </w:r>
    </w:p>
    <w:p>
      <w:r>
        <w:t xml:space="preserve">提供质保期内的免费维修与终身技术支持，承诺接到报修后快速响应。建立专属客户档案，定期回访，保障备品备件长期供应。</w:t>
      </w:r>
      <w:br/>
      <w:r>
        <w:t xml:space="preserve"/>
      </w:r>
      <w:br/>
      <w:r>
        <w:t xml:space="preserve">补充：给出关键实施步骤与责任界面，便于招标方评估可执行性。</w:t>
      </w:r>
    </w:p>
    <w:p>
      <w:pPr>
        <w:pStyle w:val="Heading1"/>
      </w:pPr>
      <w:r>
        <w:t xml:space="preserve">商务标响应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2F6BFF"/>
          </w:tcPr>
          <w:p>
            <w:r>
              <w:rPr>
                <w:b/>
                <w:color w:val="FFFFFF"/>
              </w:rPr>
              <w:t xml:space="preserve">投标要素</w:t>
            </w:r>
          </w:p>
        </w:tc>
        <w:tc>
          <w:tcPr>
            <w:tcW w:w="4500" w:type="dxa"/>
            <w:shd w:val="clear" w:color="auto" w:fill="2F6BFF"/>
          </w:tcPr>
          <w:p>
            <w:r>
              <w:rPr>
                <w:b/>
                <w:color w:val="FFFFFF"/>
              </w:rPr>
              <w:t xml:space="preserve">填写值</w:t>
            </w:r>
          </w:p>
        </w:tc>
      </w:tr>
      <w:tr>
        <w:tc>
          <w:tcPr>
            <w:tcW w:w="4500" w:type="dxa"/>
          </w:tcPr>
          <w:p>
            <w:r>
              <w:t xml:space="preserve">投标人名称</w:t>
            </w:r>
          </w:p>
        </w:tc>
        <w:tc>
          <w:tcPr>
            <w:tcW w:w="4500" w:type="dxa"/>
          </w:tcPr>
          <w:p>
            <w:r>
              <w:t xml:space="preserve">鞍山星源达科技有限公司</w:t>
            </w:r>
          </w:p>
        </w:tc>
      </w:tr>
      <w:tr>
        <w:tc>
          <w:tcPr>
            <w:tcW w:w="4500" w:type="dxa"/>
          </w:tcPr>
          <w:p>
            <w:r>
              <w:t xml:space="preserve">统一社会信用代码</w:t>
            </w:r>
          </w:p>
        </w:tc>
        <w:tc>
          <w:tcPr>
            <w:tcW w:w="4500" w:type="dxa"/>
          </w:tcPr>
          <w:p>
            <w:r>
              <w:t xml:space="preserve">91210300XXX</w:t>
            </w:r>
          </w:p>
        </w:tc>
      </w:tr>
      <w:tr>
        <w:tc>
          <w:tcPr>
            <w:tcW w:w="4500" w:type="dxa"/>
          </w:tcPr>
          <w:p>
            <w:r>
              <w:t xml:space="preserve">法定代表人</w:t>
            </w:r>
          </w:p>
        </w:tc>
        <w:tc>
          <w:tcPr>
            <w:tcW w:w="4500" w:type="dxa"/>
          </w:tcPr>
          <w:p>
            <w:r>
              <w:t xml:space="preserve">张三</w:t>
            </w:r>
          </w:p>
        </w:tc>
      </w:tr>
      <w:tr>
        <w:tc>
          <w:tcPr>
            <w:tcW w:w="4500" w:type="dxa"/>
          </w:tcPr>
          <w:p>
            <w:r>
              <w:t xml:space="preserve">注册地址</w:t>
            </w:r>
          </w:p>
        </w:tc>
        <w:tc>
          <w:tcPr>
            <w:tcW w:w="4500" w:type="dxa"/>
          </w:tcPr>
          <w:p>
            <w:r>
              <w:t xml:space="preserve">辽宁鞍山</w:t>
            </w:r>
          </w:p>
        </w:tc>
      </w:tr>
      <w:tr>
        <w:tc>
          <w:tcPr>
            <w:tcW w:w="4500" w:type="dxa"/>
          </w:tcPr>
          <w:p>
            <w:r>
              <w:t xml:space="preserve">联系电话</w:t>
            </w:r>
          </w:p>
        </w:tc>
        <w:tc>
          <w:tcPr>
            <w:tcW w:w="4500" w:type="dxa"/>
          </w:tcPr>
          <w:p>
            <w:r>
              <w:t xml:space="preserve">0412-xxx</w:t>
            </w:r>
          </w:p>
        </w:tc>
      </w:tr>
      <w:tr>
        <w:tc>
          <w:tcPr>
            <w:tcW w:w="4500" w:type="dxa"/>
          </w:tcPr>
          <w:p>
            <w:r>
              <w:t xml:space="preserve">开户银行</w:t>
            </w:r>
          </w:p>
        </w:tc>
        <w:tc>
          <w:tcPr>
            <w:tcW w:w="4500" w:type="dxa"/>
          </w:tcPr>
          <w:p>
            <w:r>
              <w:t xml:space="preserve">工行鞍山</w:t>
            </w:r>
          </w:p>
        </w:tc>
      </w:tr>
      <w:tr>
        <w:tc>
          <w:tcPr>
            <w:tcW w:w="4500" w:type="dxa"/>
          </w:tcPr>
          <w:p>
            <w:r>
              <w:t xml:space="preserve">银行账号</w:t>
            </w:r>
          </w:p>
        </w:tc>
        <w:tc>
          <w:tcPr>
            <w:tcW w:w="4500" w:type="dxa"/>
          </w:tcPr>
          <w:p>
            <w:r>
              <w:t xml:space="preserve">1234</w:t>
            </w:r>
          </w:p>
        </w:tc>
      </w:tr>
      <w:tr>
        <w:tc>
          <w:tcPr>
            <w:tcW w:w="4500" w:type="dxa"/>
          </w:tcPr>
          <w:p>
            <w:r>
              <w:t xml:space="preserve">投标产品</w:t>
            </w:r>
          </w:p>
        </w:tc>
        <w:tc>
          <w:tcPr>
            <w:tcW w:w="4500" w:type="dxa"/>
          </w:tcPr>
          <w:p>
            <w:r>
              <w:t xml:space="preserve">焦炭反应性测定装置</w:t>
            </w:r>
          </w:p>
        </w:tc>
      </w:tr>
      <w:tr>
        <w:tc>
          <w:tcPr>
            <w:tcW w:w="4500" w:type="dxa"/>
          </w:tcPr>
          <w:p>
            <w:r>
              <w:t xml:space="preserve">交货期</w:t>
            </w:r>
          </w:p>
        </w:tc>
        <w:tc>
          <w:tcPr>
            <w:tcW w:w="4500" w:type="dxa"/>
          </w:tcPr>
          <w:p>
            <w:r>
              <w:t xml:space="preserve">60天</w:t>
            </w:r>
          </w:p>
        </w:tc>
      </w:tr>
      <w:tr>
        <w:tc>
          <w:tcPr>
            <w:tcW w:w="4500" w:type="dxa"/>
          </w:tcPr>
          <w:p>
            <w:r>
              <w:t xml:space="preserve">质保期</w:t>
            </w:r>
          </w:p>
        </w:tc>
        <w:tc>
          <w:tcPr>
            <w:tcW w:w="4500" w:type="dxa"/>
          </w:tcPr>
          <w:p>
            <w:r>
              <w:t xml:space="preserve">2年</w:t>
            </w:r>
          </w:p>
        </w:tc>
      </w:tr>
    </w:tbl>
    <w:p>
      <w:pPr>
        <w:pStyle w:val="Heading1"/>
      </w:pPr>
      <w:r>
        <w:t xml:space="preserve">报价部分</w:t>
      </w:r>
    </w:p>
    <w:p>
      <w:r>
        <w:t xml:space="preserve">审定报价（人民币）：1118 元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2F6BFF"/>
          </w:tcPr>
          <w:p>
            <w:r>
              <w:rPr>
                <w:b/>
                <w:color w:val="FFFFFF"/>
              </w:rPr>
              <w:t xml:space="preserve">成本 / 项目</w:t>
            </w:r>
          </w:p>
        </w:tc>
        <w:tc>
          <w:tcPr>
            <w:tcW w:w="4500" w:type="dxa"/>
            <w:shd w:val="clear" w:color="auto" w:fill="2F6BFF"/>
          </w:tcPr>
          <w:p>
            <w:r>
              <w:rPr>
                <w:b/>
                <w:color w:val="FFFFFF"/>
              </w:rPr>
              <w:t xml:space="preserve">金额(元)</w:t>
            </w:r>
          </w:p>
        </w:tc>
      </w:tr>
      <w:tr>
        <w:tc>
          <w:tcPr>
            <w:tcW w:w="4500" w:type="dxa"/>
          </w:tcPr>
          <w:p>
            <w:r>
              <w:t xml:space="preserve">设备材料成本</w:t>
            </w:r>
          </w:p>
        </w:tc>
        <w:tc>
          <w:tcPr>
            <w:tcW w:w="4500" w:type="dxa"/>
          </w:tcPr>
          <w:p>
            <w:r>
              <w:t xml:space="preserve">600</w:t>
            </w:r>
          </w:p>
        </w:tc>
      </w:tr>
      <w:tr>
        <w:tc>
          <w:tcPr>
            <w:tcW w:w="4500" w:type="dxa"/>
          </w:tcPr>
          <w:p>
            <w:r>
              <w:t xml:space="preserve">人工与装配</w:t>
            </w:r>
          </w:p>
        </w:tc>
        <w:tc>
          <w:tcPr>
            <w:tcW w:w="4500" w:type="dxa"/>
          </w:tcPr>
          <w:p>
            <w:r>
              <w:t xml:space="preserve">120</w:t>
            </w:r>
          </w:p>
        </w:tc>
      </w:tr>
      <w:tr>
        <w:tc>
          <w:tcPr>
            <w:tcW w:w="4500" w:type="dxa"/>
          </w:tcPr>
          <w:p>
            <w:r>
              <w:t xml:space="preserve">制造费用</w:t>
            </w:r>
          </w:p>
        </w:tc>
        <w:tc>
          <w:tcPr>
            <w:tcW w:w="4500" w:type="dxa"/>
          </w:tcPr>
          <w:p>
            <w:r>
              <w:t xml:space="preserve">80</w:t>
            </w:r>
          </w:p>
        </w:tc>
      </w:tr>
      <w:tr>
        <w:tc>
          <w:tcPr>
            <w:tcW w:w="4500" w:type="dxa"/>
          </w:tcPr>
          <w:p>
            <w:r>
              <w:t xml:space="preserve">运输与保险</w:t>
            </w:r>
          </w:p>
        </w:tc>
        <w:tc>
          <w:tcPr>
            <w:tcW w:w="4500" w:type="dxa"/>
          </w:tcPr>
          <w:p>
            <w:r>
              <w:t xml:space="preserve">50</w:t>
            </w:r>
          </w:p>
        </w:tc>
      </w:tr>
      <w:tr>
        <w:tc>
          <w:tcPr>
            <w:tcW w:w="4500" w:type="dxa"/>
          </w:tcPr>
          <w:p>
            <w:r>
              <w:t xml:space="preserve">管理与税费</w:t>
            </w:r>
          </w:p>
        </w:tc>
        <w:tc>
          <w:tcPr>
            <w:tcW w:w="4500" w:type="dxa"/>
          </w:tcPr>
          <w:p>
            <w:r>
              <w:t xml:space="preserve">100</w:t>
            </w:r>
          </w:p>
        </w:tc>
      </w:tr>
      <w:tr>
        <w:tc>
          <w:tcPr>
            <w:tcW w:w="4500" w:type="dxa"/>
          </w:tcPr>
          <w:p>
            <w:r>
              <w:t xml:space="preserve">审定报价合计</w:t>
            </w:r>
          </w:p>
        </w:tc>
        <w:tc>
          <w:tcPr>
            <w:tcW w:w="4500" w:type="dxa"/>
          </w:tcPr>
          <w:p>
            <w:r>
              <w:t xml:space="preserve">1118</w:t>
            </w:r>
          </w:p>
        </w:tc>
      </w:tr>
    </w:tbl>
    <w:p>
      <w:r>
        <w:t xml:space="preserve">测试</w:t>
      </w:r>
    </w:p>
    <w:p>
      <w:pPr>
        <w:pStyle w:val="Heading1"/>
      </w:pPr>
      <w:r>
        <w:t xml:space="preserve">附表</w:t>
      </w:r>
    </w:p>
    <w:p>
      <w:r>
        <w:t xml:space="preserve">一、工期安排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2F6BFF"/>
          </w:tcPr>
          <w:p>
            <w:r>
              <w:rPr>
                <w:b/>
                <w:color w:val="FFFFFF"/>
              </w:rPr>
              <w:t xml:space="preserve">序号</w:t>
            </w:r>
          </w:p>
        </w:tc>
        <w:tc>
          <w:tcPr>
            <w:tcW w:w="2250" w:type="dxa"/>
            <w:shd w:val="clear" w:color="auto" w:fill="2F6BFF"/>
          </w:tcPr>
          <w:p>
            <w:r>
              <w:rPr>
                <w:b/>
                <w:color w:val="FFFFFF"/>
              </w:rPr>
              <w:t xml:space="preserve">阶段</w:t>
            </w:r>
          </w:p>
        </w:tc>
        <w:tc>
          <w:tcPr>
            <w:tcW w:w="2250" w:type="dxa"/>
            <w:shd w:val="clear" w:color="auto" w:fill="2F6BFF"/>
          </w:tcPr>
          <w:p>
            <w:r>
              <w:rPr>
                <w:b/>
                <w:color w:val="FFFFFF"/>
              </w:rPr>
              <w:t xml:space="preserve">起始</w:t>
            </w:r>
          </w:p>
        </w:tc>
        <w:tc>
          <w:tcPr>
            <w:tcW w:w="2250" w:type="dxa"/>
            <w:shd w:val="clear" w:color="auto" w:fill="2F6BFF"/>
          </w:tcPr>
          <w:p>
            <w:r>
              <w:rPr>
                <w:b/>
                <w:color w:val="FFFFFF"/>
              </w:rPr>
              <w:t xml:space="preserve">周期</w:t>
            </w:r>
          </w:p>
        </w:tc>
      </w:tr>
      <w:tr>
        <w:tc>
          <w:tcPr>
            <w:tcW w:w="2250" w:type="dxa"/>
          </w:tcPr>
          <w:p>
            <w:r>
              <w:t xml:space="preserve">1</w:t>
            </w:r>
          </w:p>
        </w:tc>
        <w:tc>
          <w:tcPr>
            <w:tcW w:w="2250" w:type="dxa"/>
          </w:tcPr>
          <w:p>
            <w:r>
              <w:t xml:space="preserve">方案设计</w:t>
            </w:r>
          </w:p>
        </w:tc>
        <w:tc>
          <w:tcPr>
            <w:tcW w:w="2250" w:type="dxa"/>
          </w:tcPr>
          <w:p>
            <w:r>
              <w:t xml:space="preserve">合同签订后</w:t>
            </w:r>
          </w:p>
        </w:tc>
        <w:tc>
          <w:tcPr>
            <w:tcW w:w="2250" w:type="dxa"/>
          </w:tcPr>
          <w:p>
            <w:r>
              <w:t xml:space="preserve">5 个工作日</w:t>
            </w:r>
          </w:p>
        </w:tc>
      </w:tr>
      <w:tr>
        <w:tc>
          <w:tcPr>
            <w:tcW w:w="2250" w:type="dxa"/>
          </w:tcPr>
          <w:p>
            <w:r>
              <w:t xml:space="preserve">2</w:t>
            </w:r>
          </w:p>
        </w:tc>
        <w:tc>
          <w:tcPr>
            <w:tcW w:w="2250" w:type="dxa"/>
          </w:tcPr>
          <w:p>
            <w:r>
              <w:t xml:space="preserve">设备生产与集成</w:t>
            </w:r>
          </w:p>
        </w:tc>
        <w:tc>
          <w:tcPr>
            <w:tcW w:w="2250" w:type="dxa"/>
          </w:tcPr>
          <w:p>
            <w:r>
              <w:t xml:space="preserve">设计确认后</w:t>
            </w:r>
          </w:p>
        </w:tc>
        <w:tc>
          <w:tcPr>
            <w:tcW w:w="2250" w:type="dxa"/>
          </w:tcPr>
          <w:p>
            <w:r>
              <w:t xml:space="preserve">30 个日历日</w:t>
            </w:r>
          </w:p>
        </w:tc>
      </w:tr>
      <w:tr>
        <w:tc>
          <w:tcPr>
            <w:tcW w:w="2250" w:type="dxa"/>
          </w:tcPr>
          <w:p>
            <w:r>
              <w:t xml:space="preserve">3</w:t>
            </w:r>
          </w:p>
        </w:tc>
        <w:tc>
          <w:tcPr>
            <w:tcW w:w="2250" w:type="dxa"/>
          </w:tcPr>
          <w:p>
            <w:r>
              <w:t xml:space="preserve">厂内联调与检测</w:t>
            </w:r>
          </w:p>
        </w:tc>
        <w:tc>
          <w:tcPr>
            <w:tcW w:w="2250" w:type="dxa"/>
          </w:tcPr>
          <w:p>
            <w:r>
              <w:t xml:space="preserve">生产完成后</w:t>
            </w:r>
          </w:p>
        </w:tc>
        <w:tc>
          <w:tcPr>
            <w:tcW w:w="2250" w:type="dxa"/>
          </w:tcPr>
          <w:p>
            <w:r>
              <w:t xml:space="preserve">7 个日历日</w:t>
            </w:r>
          </w:p>
        </w:tc>
      </w:tr>
      <w:tr>
        <w:tc>
          <w:tcPr>
            <w:tcW w:w="2250" w:type="dxa"/>
          </w:tcPr>
          <w:p>
            <w:r>
              <w:t xml:space="preserve">4</w:t>
            </w:r>
          </w:p>
        </w:tc>
        <w:tc>
          <w:tcPr>
            <w:tcW w:w="2250" w:type="dxa"/>
          </w:tcPr>
          <w:p>
            <w:r>
              <w:t xml:space="preserve">发货与现场安装</w:t>
            </w:r>
          </w:p>
        </w:tc>
        <w:tc>
          <w:tcPr>
            <w:tcW w:w="2250" w:type="dxa"/>
          </w:tcPr>
          <w:p>
            <w:r>
              <w:t xml:space="preserve">通知发货后</w:t>
            </w:r>
          </w:p>
        </w:tc>
        <w:tc>
          <w:tcPr>
            <w:tcW w:w="2250" w:type="dxa"/>
          </w:tcPr>
          <w:p>
            <w:r>
              <w:t xml:space="preserve">10 个日历日</w:t>
            </w:r>
          </w:p>
        </w:tc>
      </w:tr>
      <w:tr>
        <w:tc>
          <w:tcPr>
            <w:tcW w:w="2250" w:type="dxa"/>
          </w:tcPr>
          <w:p>
            <w:r>
              <w:t xml:space="preserve">5</w:t>
            </w:r>
          </w:p>
        </w:tc>
        <w:tc>
          <w:tcPr>
            <w:tcW w:w="2250" w:type="dxa"/>
          </w:tcPr>
          <w:p>
            <w:r>
              <w:t xml:space="preserve">验收与培训</w:t>
            </w:r>
          </w:p>
        </w:tc>
        <w:tc>
          <w:tcPr>
            <w:tcW w:w="2250" w:type="dxa"/>
          </w:tcPr>
          <w:p>
            <w:r>
              <w:t xml:space="preserve">安装完成后</w:t>
            </w:r>
          </w:p>
        </w:tc>
        <w:tc>
          <w:tcPr>
            <w:tcW w:w="2250" w:type="dxa"/>
          </w:tcPr>
          <w:p>
            <w:r>
              <w:t xml:space="preserve">3 个日历日</w:t>
            </w:r>
          </w:p>
        </w:tc>
      </w:tr>
    </w:tbl>
    <w:p>
      <w:r>
        <w:t xml:space="preserve">二、技术偏离表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2F6BFF"/>
          </w:tcPr>
          <w:p>
            <w:r>
              <w:rPr>
                <w:b/>
                <w:color w:val="FFFFFF"/>
              </w:rPr>
              <w:t xml:space="preserve">序号</w:t>
            </w:r>
          </w:p>
        </w:tc>
        <w:tc>
          <w:tcPr>
            <w:tcW w:w="2250" w:type="dxa"/>
            <w:shd w:val="clear" w:color="auto" w:fill="2F6BFF"/>
          </w:tcPr>
          <w:p>
            <w:r>
              <w:rPr>
                <w:b/>
                <w:color w:val="FFFFFF"/>
              </w:rPr>
              <w:t xml:space="preserve">招标文件要求</w:t>
            </w:r>
          </w:p>
        </w:tc>
        <w:tc>
          <w:tcPr>
            <w:tcW w:w="2250" w:type="dxa"/>
            <w:shd w:val="clear" w:color="auto" w:fill="2F6BFF"/>
          </w:tcPr>
          <w:p>
            <w:r>
              <w:rPr>
                <w:b/>
                <w:color w:val="FFFFFF"/>
              </w:rPr>
              <w:t xml:space="preserve">投标响应</w:t>
            </w:r>
          </w:p>
        </w:tc>
        <w:tc>
          <w:tcPr>
            <w:tcW w:w="2250" w:type="dxa"/>
            <w:shd w:val="clear" w:color="auto" w:fill="2F6BFF"/>
          </w:tcPr>
          <w:p>
            <w:r>
              <w:rPr>
                <w:b/>
                <w:color w:val="FFFFFF"/>
              </w:rPr>
              <w:t xml:space="preserve">偏离</w:t>
            </w:r>
          </w:p>
        </w:tc>
      </w:tr>
      <w:tr>
        <w:tc>
          <w:tcPr>
            <w:tcW w:w="2250" w:type="dxa"/>
          </w:tcPr>
          <w:p>
            <w:r>
              <w:t xml:space="preserve">1</w:t>
            </w:r>
          </w:p>
        </w:tc>
        <w:tc>
          <w:tcPr>
            <w:tcW w:w="2250" w:type="dxa"/>
          </w:tcPr>
          <w:p>
            <w:r>
              <w:t xml:space="preserve">（粘贴招标参数）</w:t>
            </w:r>
          </w:p>
        </w:tc>
        <w:tc>
          <w:tcPr>
            <w:tcW w:w="2250" w:type="dxa"/>
          </w:tcPr>
          <w:p>
            <w:r>
              <w:t xml:space="preserve">（填写投标参数）</w:t>
            </w:r>
          </w:p>
        </w:tc>
        <w:tc>
          <w:tcPr>
            <w:tcW w:w="2250" w:type="dxa"/>
          </w:tcPr>
          <w:p>
            <w:r>
              <w:t xml:space="preserve">无偏离</w:t>
            </w:r>
          </w:p>
        </w:tc>
      </w:tr>
    </w:tbl>
    <w:p>
      <w:r>
        <w:t xml:space="preserve">三、培训计划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2F6BFF"/>
          </w:tcPr>
          <w:p>
            <w:r>
              <w:rPr>
                <w:b/>
                <w:color w:val="FFFFFF"/>
              </w:rPr>
              <w:t xml:space="preserve">对象</w:t>
            </w:r>
          </w:p>
        </w:tc>
        <w:tc>
          <w:tcPr>
            <w:tcW w:w="3000" w:type="dxa"/>
            <w:shd w:val="clear" w:color="auto" w:fill="2F6BFF"/>
          </w:tcPr>
          <w:p>
            <w:r>
              <w:rPr>
                <w:b/>
                <w:color w:val="FFFFFF"/>
              </w:rPr>
              <w:t xml:space="preserve">内容</w:t>
            </w:r>
          </w:p>
        </w:tc>
        <w:tc>
          <w:tcPr>
            <w:tcW w:w="3000" w:type="dxa"/>
            <w:shd w:val="clear" w:color="auto" w:fill="2F6BFF"/>
          </w:tcPr>
          <w:p>
            <w:r>
              <w:rPr>
                <w:b/>
                <w:color w:val="FFFFFF"/>
              </w:rPr>
              <w:t xml:space="preserve">时长</w:t>
            </w:r>
          </w:p>
        </w:tc>
      </w:tr>
      <w:tr>
        <w:tc>
          <w:tcPr>
            <w:tcW w:w="3000" w:type="dxa"/>
          </w:tcPr>
          <w:p>
            <w:r>
              <w:t xml:space="preserve">操作工</w:t>
            </w:r>
          </w:p>
        </w:tc>
        <w:tc>
          <w:tcPr>
            <w:tcW w:w="3000" w:type="dxa"/>
          </w:tcPr>
          <w:p>
            <w:r>
              <w:t xml:space="preserve">设备操作与日常维护</w:t>
            </w:r>
          </w:p>
        </w:tc>
        <w:tc>
          <w:tcPr>
            <w:tcW w:w="3000" w:type="dxa"/>
          </w:tcPr>
          <w:p>
            <w:r>
              <w:t xml:space="preserve">1 天</w:t>
            </w:r>
          </w:p>
        </w:tc>
      </w:tr>
      <w:tr>
        <w:tc>
          <w:tcPr>
            <w:tcW w:w="3000" w:type="dxa"/>
          </w:tcPr>
          <w:p>
            <w:r>
              <w:t xml:space="preserve">技术员</w:t>
            </w:r>
          </w:p>
        </w:tc>
        <w:tc>
          <w:tcPr>
            <w:tcW w:w="3000" w:type="dxa"/>
          </w:tcPr>
          <w:p>
            <w:r>
              <w:t xml:space="preserve">原理与故障处理</w:t>
            </w:r>
          </w:p>
        </w:tc>
        <w:tc>
          <w:tcPr>
            <w:tcW w:w="3000" w:type="dxa"/>
          </w:tcPr>
          <w:p>
            <w:r>
              <w:t xml:space="preserve">0.5 天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 w:cs="Microsoft YaHei"/>
        <w:sz w:val="22"/>
        <w:szCs w:val="22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60" w:after="120"/>
      <w:outlineLvl w:val="0"/>
    </w:pPr>
    <w:rPr>
      <w:rFonts w:ascii="Microsoft YaHei" w:eastAsia="Microsoft YaHei" w:hAnsi="Microsoft YaHei"/>
      <w:b/>
      <w:color w:val="1B4FF0"/>
      <w:sz w:val="32"/>
      <w:szCs w:val="32"/>
    </w:rPr>
  </w:style>
  <w:style w:type="paragraph" w:styleId="Heading2">
    <w:name w:val="heading 2"/>
    <w:basedOn w:val="Normal"/>
    <w:pPr>
      <w:keepNext/>
      <w:spacing w:before="170" w:after="80"/>
      <w:outlineLvl w:val="1"/>
    </w:pPr>
    <w:rPr>
      <w:rFonts w:ascii="Microsoft YaHei" w:eastAsia="Microsoft YaHei" w:hAnsi="Microsoft YaHei"/>
      <w:b/>
      <w:color w:val="2F6BFF"/>
      <w:sz w:val="26"/>
      <w:szCs w:val="26"/>
    </w:rPr>
  </w:style>
  <w:style w:type="paragraph" w:styleId="Title">
    <w:name w:val="Title"/>
    <w:basedOn w:val="Normal"/>
    <w:pPr>
      <w:jc w:val="center"/>
      <w:spacing w:after="140"/>
    </w:pPr>
    <w:rPr>
      <w:rFonts w:ascii="Microsoft YaHei" w:eastAsia="Microsoft YaHei" w:hAnsi="Microsoft YaHei"/>
      <w:b/>
      <w:color w:val="14213A"/>
      <w:sz w:val="56"/>
      <w:szCs w:val="56"/>
    </w:rPr>
  </w:style>
  <w:style w:type="paragraph" w:styleId="Subtitle">
    <w:name w:val="Subtitle"/>
    <w:basedOn w:val="Normal"/>
    <w:pPr>
      <w:jc w:val="center"/>
      <w:spacing w:after="60"/>
    </w:pPr>
    <w:rPr>
      <w:rFonts w:ascii="Microsoft YaHei" w:eastAsia="Microsoft YaHei" w:hAnsi="Microsoft YaHei"/>
      <w:color w:val="45506A"/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智能投标工作平台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某钢厂焦炭反应性测定装置投标</dc:title>
  <dc:creator>鞍山星源达科技有限公司</dc:creator>
  <cp:lastModifiedBy>智能投标工作平台</cp:lastModifiedBy>
  <dcterms:created xsi:type="dcterms:W3CDTF">2026-09-23T00:00:00Z</dcterms:created>
  <dcterms:modified xsi:type="dcterms:W3CDTF">2026-09-23T00:00:00Z</dcterms:modified>
</cp:coreProperties>
</file>