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 w:before="0" w:after="0"/>
        <w:ind w:left="709" w:hanging="42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20" w:hanging="0"/>
        <w:contextualSpacing/>
        <w:jc w:val="both"/>
        <w:rPr>
          <w:rFonts w:cs="" w:cstheme="minorHAnsi"/>
        </w:rPr>
      </w:pPr>
      <w:r>
        <w:rPr>
          <w:rFonts w:cs="" w:ascii="Times New Roman" w:hAnsi="Times New Roman" w:cstheme="minorHAnsi"/>
          <w:b/>
          <w:bCs/>
          <w:i/>
          <w:iCs/>
          <w:sz w:val="28"/>
          <w:szCs w:val="28"/>
          <w:lang w:val="ru-RU"/>
        </w:rPr>
        <w:t>Задание 2.</w:t>
      </w:r>
      <w:r>
        <w:rPr>
          <w:rFonts w:cs="" w:ascii="Times New Roman" w:hAnsi="Times New Roman" w:cstheme="minorHAnsi"/>
          <w:i/>
          <w:iCs/>
          <w:sz w:val="28"/>
          <w:szCs w:val="28"/>
          <w:lang w:val="ru-RU"/>
        </w:rPr>
        <w:t xml:space="preserve"> </w:t>
      </w:r>
      <w:r>
        <w:rPr>
          <w:rFonts w:cs="" w:ascii="Times New Roman" w:hAnsi="Times New Roman" w:cstheme="minorHAnsi"/>
          <w:i/>
          <w:iCs/>
          <w:sz w:val="28"/>
          <w:szCs w:val="28"/>
        </w:rPr>
        <w:t xml:space="preserve">Выгрузка по теме </w:t>
      </w:r>
      <w:r>
        <w:rPr>
          <w:rFonts w:ascii="Times New Roman" w:hAnsi="Times New Roman"/>
          <w:i/>
          <w:iCs/>
          <w:sz w:val="28"/>
          <w:szCs w:val="28"/>
        </w:rPr>
        <w:t>бессимптомной гиперурикемии</w:t>
      </w:r>
      <w:r>
        <w:rPr>
          <w:rFonts w:cs="" w:ascii="Times New Roman" w:hAnsi="Times New Roman" w:cstheme="minorHAnsi"/>
          <w:i/>
          <w:iCs/>
          <w:sz w:val="28"/>
          <w:szCs w:val="28"/>
        </w:rPr>
        <w:t xml:space="preserve"> завершена, и уже пора бы проводить метаанализ. Данные находятся в файле </w:t>
      </w:r>
      <w:r>
        <w:rPr>
          <w:rFonts w:cs="" w:ascii="Times New Roman" w:hAnsi="Times New Roman" w:cstheme="minorHAnsi"/>
          <w:i/>
          <w:iCs/>
          <w:sz w:val="28"/>
          <w:szCs w:val="28"/>
          <w:lang w:val="en-US"/>
        </w:rPr>
        <w:t>task</w:t>
      </w:r>
      <w:r>
        <w:rPr>
          <w:rFonts w:cs="" w:ascii="Times New Roman" w:hAnsi="Times New Roman" w:cstheme="minorHAnsi"/>
          <w:i/>
          <w:iCs/>
          <w:sz w:val="28"/>
          <w:szCs w:val="28"/>
        </w:rPr>
        <w:t>_2.</w:t>
      </w:r>
      <w:r>
        <w:rPr>
          <w:rFonts w:cs="" w:ascii="Times New Roman" w:hAnsi="Times New Roman" w:cstheme="minorHAnsi"/>
          <w:i/>
          <w:iCs/>
          <w:sz w:val="28"/>
          <w:szCs w:val="28"/>
          <w:lang w:val="en-US"/>
        </w:rPr>
        <w:t>xlsx</w:t>
      </w:r>
      <w:r>
        <w:rPr>
          <w:rFonts w:cs="" w:ascii="Times New Roman" w:hAnsi="Times New Roman" w:cstheme="minorHAnsi"/>
          <w:i/>
          <w:iCs/>
          <w:sz w:val="28"/>
          <w:szCs w:val="28"/>
        </w:rPr>
        <w:t>. В нем два листа: “</w:t>
      </w:r>
      <w:r>
        <w:rPr>
          <w:rFonts w:cs="" w:ascii="Times New Roman" w:hAnsi="Times New Roman" w:cstheme="minorHAnsi"/>
          <w:i/>
          <w:iCs/>
          <w:sz w:val="28"/>
          <w:szCs w:val="28"/>
          <w:lang w:val="en-US"/>
        </w:rPr>
        <w:t>data</w:t>
      </w:r>
      <w:r>
        <w:rPr>
          <w:rFonts w:cs="" w:ascii="Times New Roman" w:hAnsi="Times New Roman" w:cstheme="minorHAnsi"/>
          <w:i/>
          <w:iCs/>
          <w:sz w:val="28"/>
          <w:szCs w:val="28"/>
        </w:rPr>
        <w:t>”, “</w:t>
      </w:r>
      <w:r>
        <w:rPr>
          <w:rFonts w:cs="" w:ascii="Times New Roman" w:hAnsi="Times New Roman" w:cstheme="minorHAnsi"/>
          <w:i/>
          <w:iCs/>
          <w:sz w:val="28"/>
          <w:szCs w:val="28"/>
          <w:lang w:val="en-US"/>
        </w:rPr>
        <w:t>cols</w:t>
      </w:r>
      <w:r>
        <w:rPr>
          <w:rFonts w:cs="" w:ascii="Times New Roman" w:hAnsi="Times New Roman" w:cstheme="minorHAnsi"/>
          <w:i/>
          <w:iCs/>
          <w:sz w:val="28"/>
          <w:szCs w:val="28"/>
        </w:rPr>
        <w:t>”. На первом – данные, на втором – расшифровка названий колонок.</w:t>
      </w:r>
    </w:p>
    <w:p>
      <w:pPr>
        <w:pStyle w:val="ListParagraph"/>
        <w:bidi w:val="0"/>
        <w:spacing w:lineRule="auto" w:line="360" w:before="0" w:after="0"/>
        <w:ind w:left="720" w:hanging="0"/>
        <w:contextualSpacing/>
        <w:jc w:val="both"/>
        <w:rPr>
          <w:rFonts w:cs="" w:cstheme="minorHAnsi"/>
        </w:rPr>
      </w:pPr>
      <w:r>
        <w:rPr>
          <w:rFonts w:cs="" w:ascii="Times New Roman" w:hAnsi="Times New Roman" w:cstheme="minorHAnsi"/>
          <w:i/>
          <w:iCs/>
          <w:sz w:val="28"/>
          <w:szCs w:val="28"/>
        </w:rPr>
        <w:t xml:space="preserve">Клинический вопрос синтеза: «Какова ассоциация </w:t>
      </w:r>
      <w:r>
        <w:rPr>
          <w:rFonts w:ascii="Times New Roman" w:hAnsi="Times New Roman"/>
          <w:i/>
          <w:iCs/>
          <w:sz w:val="28"/>
          <w:szCs w:val="28"/>
        </w:rPr>
        <w:t>уровня мочевой кислоты и скорости клубочковой фильтрации у пациентов».</w:t>
      </w:r>
    </w:p>
    <w:p>
      <w:pPr>
        <w:pStyle w:val="ListParagraph"/>
        <w:bidi w:val="0"/>
        <w:spacing w:lineRule="auto" w:line="360" w:before="0" w:after="0"/>
        <w:ind w:left="720" w:hanging="0"/>
        <w:contextualSpacing/>
        <w:jc w:val="both"/>
        <w:rPr>
          <w:b/>
          <w:b/>
          <w:bCs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Нужно выбрать модель </w:t>
      </w:r>
      <w:r>
        <w:rPr>
          <w:rFonts w:cs="" w:ascii="Times New Roman" w:hAnsi="Times New Roman" w:cstheme="minorHAnsi"/>
          <w:i/>
          <w:iCs/>
          <w:sz w:val="28"/>
          <w:szCs w:val="28"/>
        </w:rPr>
        <w:t>метаанализа</w:t>
      </w:r>
      <w:r>
        <w:rPr>
          <w:rFonts w:ascii="Times New Roman" w:hAnsi="Times New Roman"/>
          <w:i/>
          <w:iCs/>
          <w:sz w:val="28"/>
          <w:szCs w:val="28"/>
        </w:rPr>
        <w:t xml:space="preserve">, обосновать включение в нее конфаундеров и провести синтез.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В качестве ответа нужно привести обоснование выбора модели и отбора ковариат, а также ответ на клинический вопрос. Приложить к ответу код.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При взгляде невооруженным глазом видно, что исследования очень разнородны, поэтом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  <w:lang w:val="ru-RU"/>
        </w:rPr>
        <w:t>у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 xml:space="preserve"> выбираем модель случайных эффектов.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TextBody"/>
        <w:bidi w:val="0"/>
        <w:spacing w:lineRule="auto" w:line="276" w:before="114" w:after="254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Использование модели случайных эффектов подтверждается высоким значением</w:t>
      </w:r>
      <w:bookmarkStart w:id="0" w:name="MathJax-Span-4"/>
      <w:bookmarkStart w:id="1" w:name="MathJax-Span-3"/>
      <w:bookmarkStart w:id="2" w:name="MathJax-Span-2"/>
      <w:bookmarkStart w:id="3" w:name="MathJax-Span-1"/>
      <w:bookmarkStart w:id="4" w:name="MathJax-Element-1-Frame"/>
      <w:bookmarkEnd w:id="0"/>
      <w:bookmarkEnd w:id="1"/>
      <w:bookmarkEnd w:id="2"/>
      <w:bookmarkEnd w:id="3"/>
      <w:bookmarkEnd w:id="4"/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>I</w:t>
      </w:r>
      <w:bookmarkStart w:id="5" w:name="MathJax-Span-5"/>
      <w:bookmarkEnd w:id="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  <w:vertAlign w:val="superscript"/>
        </w:rPr>
        <w:t>2</w:t>
      </w:r>
      <w:bookmarkStart w:id="6" w:name="MathJax-Span-6"/>
      <w:bookmarkEnd w:id="6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  <w:vertAlign w:val="superscript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>=</w:t>
      </w:r>
      <w:bookmarkStart w:id="7" w:name="MathJax-Span-7"/>
      <w:bookmarkEnd w:id="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 xml:space="preserve"> 96.58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, указывающим на значительную гетерогенность между исследованиями. Это означает, что вариация эффектов обусловлена не только случайными ошибками, но и различиями в популяциях, методах и других факторах. Мера гетерогенности</w:t>
      </w:r>
      <w:bookmarkStart w:id="8" w:name="MathJax-Span-11"/>
      <w:bookmarkStart w:id="9" w:name="MathJax-Span-10"/>
      <w:bookmarkStart w:id="10" w:name="MathJax-Span-9"/>
      <w:bookmarkStart w:id="11" w:name="MathJax-Span-8"/>
      <w:bookmarkStart w:id="12" w:name="MathJax-Element-2-Frame"/>
      <w:bookmarkEnd w:id="8"/>
      <w:bookmarkEnd w:id="9"/>
      <w:bookmarkEnd w:id="10"/>
      <w:bookmarkEnd w:id="11"/>
      <w:bookmarkEnd w:id="12"/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>τ</w:t>
      </w:r>
      <w:bookmarkStart w:id="13" w:name="MathJax-Span-12"/>
      <w:bookmarkEnd w:id="13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  <w:vertAlign w:val="superscript"/>
        </w:rPr>
        <w:t>2</w:t>
      </w:r>
      <w:bookmarkStart w:id="14" w:name="MathJax-Span-13"/>
      <w:bookmarkEnd w:id="1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  <w:vertAlign w:val="superscript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>=</w:t>
      </w:r>
      <w:bookmarkStart w:id="15" w:name="MathJax-Span-14"/>
      <w:bookmarkEnd w:id="15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 xml:space="preserve"> 7.73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также подтверждает необходимость использования модели случайных эффектов.</w:t>
      </w:r>
    </w:p>
    <w:p>
      <w:pPr>
        <w:pStyle w:val="TextBody"/>
        <w:bidi w:val="0"/>
        <w:spacing w:lineRule="auto" w:line="276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В данных можно выделить несколько подгрупп (обоснование включения конфаундеров):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По количеству групп в исследовании - nQ (6 исследований с разделение по квартилям, 2 исследования с разделение, вероятно, по квантилям, и 2 исследования с неочивидным разделением и сильным дисбалансом с точки зрения количества пациентов в каждой группе). Разное количество групп может влиять на точность оценки ассоциации между уровнем мочевой кислоты (МК) и скоростью клубочковой фильтрации (СКФ). Например, исследования с 2 группами могут давать менее точные оценки по сравнению с исследованиями, где групп больше.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По способу расчета СКФ (epi_formula): Разные методы расчета СКФ могут вносить систематические различия в результаты.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76"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По трансформации данных при экстракции (generated): Исследования с трансформированными данными могут отличаться от исходных, что может влиять на результаты. При исключении трансформированных данных гетерогенность снижается с 96.58% до 71.12%, соответственно, разница в обработке данных может объяснить значительную часть гетерогенности.</w:t>
      </w:r>
    </w:p>
    <w:p>
      <w:pPr>
        <w:pStyle w:val="TextBody"/>
        <w:widowControl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По наличию границ значений МК: Отсутствие границ или нечеткие границы могут указывать на менее структурированные данные, что также может быть источником гетерогенности.</w:t>
      </w:r>
    </w:p>
    <w:p>
      <w:pPr>
        <w:pStyle w:val="TextBody"/>
        <w:bidi w:val="0"/>
        <w:spacing w:lineRule="auto" w:line="276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1F1F1F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</w:r>
    </w:p>
    <w:p>
      <w:pPr>
        <w:pStyle w:val="TextBody"/>
        <w:bidi w:val="0"/>
        <w:spacing w:lineRule="auto" w:line="276" w:before="57" w:after="197"/>
        <w:jc w:val="left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1F1F1F"/>
          <w:spacing w:val="0"/>
          <w:sz w:val="28"/>
          <w:szCs w:val="28"/>
        </w:rPr>
        <w:t xml:space="preserve">Клинический вопрос: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Результаты мета-анализа показывают, что уровень мочевой кислоты значимо ассоциирован со скоростью клубочковой фильтрации. Средний эффект составляет 5.35 (95% ДИ: 3.46–7.24), что статистически значимо (</w:t>
      </w:r>
      <w:bookmarkStart w:id="16" w:name="MathJax-Span-17"/>
      <w:bookmarkStart w:id="17" w:name="MathJax-Span-16"/>
      <w:bookmarkStart w:id="18" w:name="MathJax-Span-15"/>
      <w:bookmarkStart w:id="19" w:name="MathJax-Element-3-Frame"/>
      <w:bookmarkEnd w:id="16"/>
      <w:bookmarkEnd w:id="17"/>
      <w:bookmarkEnd w:id="18"/>
      <w:bookmarkEnd w:id="19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>p</w:t>
      </w:r>
      <w:bookmarkStart w:id="20" w:name="MathJax-Span-18"/>
      <w:bookmarkEnd w:id="2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 xml:space="preserve"> =</w:t>
      </w:r>
      <w:bookmarkStart w:id="21" w:name="MathJax-Span-19"/>
      <w:bookmarkEnd w:id="21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 xml:space="preserve"> 2.90</w:t>
      </w:r>
      <w:bookmarkStart w:id="22" w:name="MathJax-Span-20"/>
      <w:bookmarkEnd w:id="22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 xml:space="preserve"> x</w:t>
      </w:r>
      <w:bookmarkStart w:id="23" w:name="MathJax-Span-22"/>
      <w:bookmarkStart w:id="24" w:name="MathJax-Span-21"/>
      <w:bookmarkEnd w:id="23"/>
      <w:bookmarkEnd w:id="24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</w:rPr>
        <w:t xml:space="preserve"> 10</w:t>
      </w:r>
      <w:bookmarkStart w:id="25" w:name="MathJax-Span-25"/>
      <w:bookmarkStart w:id="26" w:name="MathJax-Span-24"/>
      <w:bookmarkStart w:id="27" w:name="MathJax-Span-23"/>
      <w:bookmarkEnd w:id="25"/>
      <w:bookmarkEnd w:id="26"/>
      <w:bookmarkEnd w:id="27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  <w:vertAlign w:val="superscript"/>
        </w:rPr>
        <w:t>−</w:t>
      </w:r>
      <w:bookmarkStart w:id="28" w:name="MathJax-Span-26"/>
      <w:bookmarkEnd w:id="28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1F1F1F"/>
          <w:spacing w:val="0"/>
          <w:sz w:val="28"/>
          <w:szCs w:val="28"/>
          <w:u w:val="none"/>
          <w:effect w:val="none"/>
          <w:vertAlign w:val="superscript"/>
        </w:rPr>
        <w:t>8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1F1F1F"/>
          <w:spacing w:val="0"/>
          <w:sz w:val="28"/>
          <w:szCs w:val="28"/>
        </w:rPr>
        <w:t>). Это указывает на то, что повышение уровня МК связано со снижением СКФ.</w:t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LibreOffice/7.1.4.2$Windows_X86_64 LibreOffice_project/a529a4fab45b75fefc5b6226684193eb000654f6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2025-07-03T13:44:21Z</dcterms:created>
  <dc:creator/>
  <dc:description/>
  <dc:language>ru-RU</dc:language>
  <cp:lastModifiedBy/>
  <dcterms:modified xsi:type="dcterms:W3CDTF">2025-07-03T14:46:56Z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