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3A5C"/>
          <w:sz w:val="44"/>
          <w:szCs w:val="44"/>
        </w:rPr>
        <w:t xml:space="preserve">RESEARCH PLAN</w:t>
      </w:r>
    </w:p>
    <w:p>
      <w:pPr>
        <w:pBdr>
          <w:bottom w:val="single" w:color="3E8EBF" w:sz="3" w:space="8"/>
        </w:pBdr>
        <w:spacing w:after="100"/>
        <w:jc w:val="center"/>
      </w:pPr>
    </w:p>
    <w:p>
      <w:pPr>
        <w:spacing w:after="200"/>
      </w:pPr>
    </w:p>
    <w:p>
      <w:pPr>
        <w:spacing w:after="300"/>
        <w:jc w:val="center"/>
      </w:pPr>
      <w:r>
        <w:rPr>
          <w:rFonts w:ascii="Arial" w:cs="Arial" w:eastAsia="Arial" w:hAnsi="Arial"/>
          <w:color w:val="2E6B9E"/>
          <w:sz w:val="36"/>
          <w:szCs w:val="36"/>
        </w:rPr>
        <w:t xml:space="preserve">Mobile Banking, Bank Branch Closures,</w:t>
      </w:r>
    </w:p>
    <w:p>
      <w:pPr>
        <w:spacing w:after="300"/>
        <w:jc w:val="center"/>
      </w:pPr>
      <w:r>
        <w:rPr>
          <w:rFonts w:ascii="Arial" w:cs="Arial" w:eastAsia="Arial" w:hAnsi="Arial"/>
          <w:color w:val="2E6B9E"/>
          <w:sz w:val="36"/>
          <w:szCs w:val="36"/>
        </w:rPr>
        <w:t xml:space="preserve">and Self-Employment in the United States</w:t>
      </w:r>
    </w:p>
    <w:p>
      <w:pPr>
        <w:spacing w:after="400"/>
      </w:pPr>
    </w:p>
    <w:p>
      <w:pPr>
        <w:spacing w:after="100"/>
        <w:jc w:val="center"/>
      </w:pPr>
      <w:r>
        <w:rPr>
          <w:rFonts w:ascii="Arial" w:cs="Arial" w:eastAsia="Arial" w:hAnsi="Arial"/>
          <w:color w:val="333333"/>
          <w:sz w:val="26"/>
          <w:szCs w:val="26"/>
        </w:rPr>
        <w:t xml:space="preserve">Alina Malkova</w:t>
      </w:r>
    </w:p>
    <w:p>
      <w:pPr>
        <w:spacing w:after="100"/>
        <w:jc w:val="center"/>
      </w:pPr>
      <w:r>
        <w:rPr>
          <w:rFonts w:ascii="Arial" w:cs="Arial" w:eastAsia="Arial" w:hAnsi="Arial"/>
          <w:color w:val="666666"/>
          <w:sz w:val="22"/>
          <w:szCs w:val="22"/>
        </w:rPr>
        <w:t xml:space="preserve">Florida Institute of Technology</w:t>
      </w:r>
    </w:p>
    <w:p>
      <w:pPr>
        <w:spacing w:after="100"/>
        <w:jc w:val="center"/>
      </w:pPr>
      <w:r>
        <w:rPr>
          <w:rFonts w:ascii="Arial" w:cs="Arial" w:eastAsia="Arial" w:hAnsi="Arial"/>
          <w:color w:val="666666"/>
          <w:sz w:val="22"/>
          <w:szCs w:val="22"/>
        </w:rPr>
        <w:t xml:space="preserve">Nathan M. Bisk College of Business</w:t>
      </w:r>
    </w:p>
    <w:p>
      <w:pPr>
        <w:spacing w:after="600"/>
      </w:pPr>
    </w:p>
    <w:p>
      <w:pPr>
        <w:spacing w:after="100"/>
        <w:jc w:val="center"/>
      </w:pPr>
      <w:r>
        <w:rPr>
          <w:rFonts w:ascii="Arial" w:cs="Arial" w:eastAsia="Arial" w:hAnsi="Arial"/>
          <w:color w:val="666666"/>
          <w:sz w:val="22"/>
          <w:szCs w:val="22"/>
        </w:rPr>
        <w:t xml:space="preserve">February 2025</w:t>
      </w:r>
    </w:p>
    <w:p>
      <w:pPr>
        <w:jc w:val="center"/>
      </w:pPr>
      <w:r>
        <w:rPr>
          <w:rFonts w:ascii="Arial" w:cs="Arial" w:eastAsia="Arial" w:hAnsi="Arial"/>
          <w:i/>
          <w:iCs/>
          <w:color w:val="3E8EBF"/>
          <w:sz w:val="22"/>
          <w:szCs w:val="22"/>
        </w:rPr>
        <w:t xml:space="preserve">DRAFT</w:t>
      </w:r>
    </w:p>
    <w:p>
      <w:pPr>
        <w:sectPr>
          <w:pgSz w:w="12240" w:h="15840" w:orient="portrait"/>
          <w:pgMar w:top="1440" w:right="1440" w:bottom="1440" w:left="1440" w:header="708" w:footer="708" w:gutter="0"/>
          <w:pgNumType/>
          <w:docGrid w:linePitch="360"/>
        </w:sectPr>
      </w:pPr>
    </w:p>
    <w:p>
      <w:pPr>
        <w:pStyle w:val="Heading1"/>
      </w:pPr>
      <w:r>
        <w:t xml:space="preserve">1. Motivation and Research Question</w:t>
      </w:r>
    </w:p>
    <w:p>
      <w:pPr>
        <w:spacing w:after="200" w:line="300"/>
      </w:pPr>
      <w:r>
        <w:rPr>
          <w:rFonts w:ascii="Cambria" w:cs="Cambria" w:eastAsia="Cambria" w:hAnsi="Cambria"/>
          <w:color w:val="333333"/>
          <w:sz w:val="22"/>
          <w:szCs w:val="22"/>
        </w:rPr>
        <w:t xml:space="preserve">The U.S. banking landscape is undergoing a structural transformation. Between 2019 and 2023, the number of bank branches declined by 5.6 percent, and the number of Americans living in banking deserts grew by 760,000 to 12.3 million (Federal Reserve Bank of Philadelphia, 2025). The rate of branch closures doubled during COVID-19 and has continued at elevated levels, with over 300 branches marked for closure in Q1 2025 alone. Simultaneously, mobile banking adoption has surged: the share of banked households using mobile banking as their primary access method rose from 15.1 percent in 2017 to 43.5 percent in 2021 (FDIC, 2021).</w:t>
      </w:r>
    </w:p>
    <w:p>
      <w:pPr>
        <w:spacing w:after="200" w:line="300"/>
      </w:pPr>
      <w:r>
        <w:rPr>
          <w:rFonts w:ascii="Cambria" w:cs="Cambria" w:eastAsia="Cambria" w:hAnsi="Cambria"/>
          <w:color w:val="333333"/>
          <w:sz w:val="22"/>
          <w:szCs w:val="22"/>
        </w:rPr>
        <w:t xml:space="preserve">A large literature documents that physical bank proximity affects credit access for small businesses (Nguyen, 2019; Degryse and Ongena, 2005; Brevoort et al., 2010). However, whether the expansion of mobile banking mitigates the negative effects of branch closures on individual labor market decisions—particularly self-employment and entrepreneurship—remains an open question. Dante and Makridis (2021) provide tract-level evidence that mobile and brick-and-mortar banking are substitutes, but their analysis is purely at the geographic level and does not address individual employment transitions.</w:t>
      </w:r>
    </w:p>
    <w:p>
      <w:pPr>
        <w:spacing w:after="200" w:line="300"/>
      </w:pPr>
      <w:r>
        <w:rPr>
          <w:rFonts w:ascii="Cambria" w:cs="Cambria" w:eastAsia="Cambria" w:hAnsi="Cambria"/>
          <w:b/>
          <w:bCs/>
          <w:color w:val="333333"/>
          <w:sz w:val="22"/>
          <w:szCs w:val="22"/>
        </w:rPr>
        <w:t xml:space="preserve">Primary Research Question: </w:t>
      </w:r>
      <w:r>
        <w:rPr>
          <w:rFonts w:ascii="Cambria" w:cs="Cambria" w:eastAsia="Cambria" w:hAnsi="Cambria"/>
          <w:color w:val="333333"/>
          <w:sz w:val="22"/>
          <w:szCs w:val="22"/>
        </w:rPr>
        <w:t xml:space="preserve">Does mobile banking adoption facilitate entry into self-employment, particularly in areas experiencing bank branch closures? Does mobile banking serve as a substitute channel for credit access that supports entrepreneurship in banking deserts?</w:t>
      </w:r>
    </w:p>
    <w:p>
      <w:pPr>
        <w:spacing w:after="200" w:line="300"/>
      </w:pPr>
      <w:r>
        <w:rPr>
          <w:rFonts w:ascii="Cambria" w:cs="Cambria" w:eastAsia="Cambria" w:hAnsi="Cambria"/>
          <w:b/>
          <w:bCs/>
          <w:color w:val="333333"/>
          <w:sz w:val="22"/>
          <w:szCs w:val="22"/>
        </w:rPr>
        <w:t xml:space="preserve">Secondary Questions: </w:t>
      </w:r>
      <w:r>
        <w:rPr>
          <w:rFonts w:ascii="Cambria" w:cs="Cambria" w:eastAsia="Cambria" w:hAnsi="Cambria"/>
          <w:color w:val="333333"/>
          <w:sz w:val="22"/>
          <w:szCs w:val="22"/>
        </w:rPr>
        <w:t xml:space="preserve">Are the effects heterogeneous across race, income, education, and geography (urban vs. rural)? Does the self-employment facilitated by mobile banking represent necessity entrepreneurship or opportunity entrepreneurship?</w:t>
      </w:r>
    </w:p>
    <w:p>
      <w:pPr>
        <w:pStyle w:val="Heading1"/>
      </w:pPr>
      <w:r>
        <w:t xml:space="preserve">2. Contribution to the Literature</w:t>
      </w:r>
    </w:p>
    <w:p>
      <w:pPr>
        <w:spacing w:after="200" w:line="300"/>
      </w:pPr>
      <w:r>
        <w:rPr>
          <w:rFonts w:ascii="Cambria" w:cs="Cambria" w:eastAsia="Cambria" w:hAnsi="Cambria"/>
          <w:color w:val="333333"/>
          <w:sz w:val="22"/>
          <w:szCs w:val="22"/>
        </w:rPr>
        <w:t xml:space="preserve">This project fills a specific gap at the intersection of three literatures that have remained largely separate:</w:t>
      </w:r>
    </w:p>
    <w:p>
      <w:pPr>
        <w:pStyle w:val="ListParagraph"/>
        <w:numPr>
          <w:ilvl w:val="0"/>
          <w:numId w:val="2"/>
        </w:numPr>
        <w:spacing w:after="140" w:line="300"/>
      </w:pPr>
      <w:r>
        <w:rPr>
          <w:rFonts w:ascii="Cambria" w:cs="Cambria" w:eastAsia="Cambria" w:hAnsi="Cambria"/>
          <w:b/>
          <w:bCs/>
          <w:color w:val="333333"/>
          <w:sz w:val="22"/>
          <w:szCs w:val="22"/>
        </w:rPr>
        <w:t xml:space="preserve">Fintech and financial inclusion. </w:t>
      </w:r>
      <w:r>
        <w:rPr>
          <w:rFonts w:ascii="Cambria" w:cs="Cambria" w:eastAsia="Cambria" w:hAnsi="Cambria"/>
          <w:color w:val="333333"/>
          <w:sz w:val="22"/>
          <w:szCs w:val="22"/>
        </w:rPr>
        <w:t xml:space="preserve">Dante and Makridis (2021) show that mobile banking substitutes for physical branches at the tract level. Fuster et al. (2019) show fintech lenders reduce mortgage market frictions. However, neither examines downstream effects on individual labor market decisions.</w:t>
      </w:r>
    </w:p>
    <w:p>
      <w:pPr>
        <w:pStyle w:val="ListParagraph"/>
        <w:numPr>
          <w:ilvl w:val="0"/>
          <w:numId w:val="2"/>
        </w:numPr>
        <w:spacing w:after="140" w:line="300"/>
      </w:pPr>
      <w:r>
        <w:rPr>
          <w:rFonts w:ascii="Cambria" w:cs="Cambria" w:eastAsia="Cambria" w:hAnsi="Cambria"/>
          <w:b/>
          <w:bCs/>
          <w:color w:val="333333"/>
          <w:sz w:val="22"/>
          <w:szCs w:val="22"/>
        </w:rPr>
        <w:t xml:space="preserve">Credit access and entrepreneurship. </w:t>
      </w:r>
      <w:r>
        <w:rPr>
          <w:rFonts w:ascii="Cambria" w:cs="Cambria" w:eastAsia="Cambria" w:hAnsi="Cambria"/>
          <w:color w:val="333333"/>
          <w:sz w:val="22"/>
          <w:szCs w:val="22"/>
        </w:rPr>
        <w:t xml:space="preserve">Herkenhoff, Phillips, and Cohen-Cole (2021, JFE) establish that consumer credit access causally affects self-employment using credit bureau data. Our project extends this by examining mobile banking as a specific mechanism through which credit access operates in the context of branch closures.</w:t>
      </w:r>
    </w:p>
    <w:p>
      <w:pPr>
        <w:pStyle w:val="ListParagraph"/>
        <w:numPr>
          <w:ilvl w:val="0"/>
          <w:numId w:val="2"/>
        </w:numPr>
        <w:spacing w:after="140" w:line="300"/>
      </w:pPr>
      <w:r>
        <w:rPr>
          <w:rFonts w:ascii="Cambria" w:cs="Cambria" w:eastAsia="Cambria" w:hAnsi="Cambria"/>
          <w:b/>
          <w:bCs/>
          <w:color w:val="333333"/>
          <w:sz w:val="22"/>
          <w:szCs w:val="22"/>
        </w:rPr>
        <w:t xml:space="preserve">Banking deserts and economic outcomes. </w:t>
      </w:r>
      <w:r>
        <w:rPr>
          <w:rFonts w:ascii="Cambria" w:cs="Cambria" w:eastAsia="Cambria" w:hAnsi="Cambria"/>
          <w:color w:val="333333"/>
          <w:sz w:val="22"/>
          <w:szCs w:val="22"/>
        </w:rPr>
        <w:t xml:space="preserve">Nguyen (2019, AEJ: Applied) finds bank closures cause persistent declines in small business credit. We investigate whether mobile banking mitigates this effect on the individual extensive margin of self-employment.</w:t>
      </w:r>
    </w:p>
    <w:p>
      <w:pPr>
        <w:spacing w:after="200" w:line="300"/>
      </w:pPr>
      <w:r>
        <w:rPr>
          <w:rFonts w:ascii="Cambria" w:cs="Cambria" w:eastAsia="Cambria" w:hAnsi="Cambria"/>
          <w:color w:val="333333"/>
          <w:sz w:val="22"/>
          <w:szCs w:val="22"/>
        </w:rPr>
        <w:t xml:space="preserve">The key novelty is studying the mobile banking–self-employment link at the individual level in the U.S. context, using publicly available data and exploiting geographic variation in branch closures for identification. Existing work on fintech and entrepreneurship is concentrated in developing countries (China, Kenya, Egypt) or uses cross-country data without individual-level identification.</w:t>
      </w:r>
    </w:p>
    <w:p>
      <w:pPr>
        <w:pStyle w:val="Heading1"/>
      </w:pPr>
      <w:r>
        <w:t xml:space="preserve">3. Data Sources</w:t>
      </w:r>
    </w:p>
    <w:p>
      <w:pPr>
        <w:spacing w:after="200" w:line="300"/>
      </w:pPr>
      <w:r>
        <w:rPr>
          <w:rFonts w:ascii="Cambria" w:cs="Cambria" w:eastAsia="Cambria" w:hAnsi="Cambria"/>
          <w:color w:val="333333"/>
          <w:sz w:val="22"/>
          <w:szCs w:val="22"/>
        </w:rPr>
        <w:t xml:space="preserve">All data sources are publicly available, requiring no restricted-access applications. This enables the project to begin immediately.</w:t>
      </w:r>
    </w:p>
    <w:p>
      <w:pPr>
        <w:pStyle w:val="Heading2"/>
      </w:pPr>
      <w:r>
        <w:t xml:space="preserve">3.1 FDIC National Survey of Unbanked and Underbanked Households</w:t>
      </w:r>
    </w:p>
    <w:p>
      <w:pPr>
        <w:spacing w:after="200" w:line="300"/>
      </w:pPr>
      <w:r>
        <w:rPr>
          <w:rFonts w:ascii="Cambria" w:cs="Cambria" w:eastAsia="Cambria" w:hAnsi="Cambria"/>
          <w:color w:val="333333"/>
          <w:sz w:val="22"/>
          <w:szCs w:val="22"/>
        </w:rPr>
        <w:t xml:space="preserve">The primary data source is the FDIC’s biennial survey, administered as a supplement to the Current Population Survey (CPS). Key features:</w:t>
      </w:r>
    </w:p>
    <w:p>
      <w:pPr>
        <w:pStyle w:val="ListParagraph"/>
        <w:numPr>
          <w:ilvl w:val="0"/>
          <w:numId w:val="3"/>
        </w:numPr>
        <w:spacing w:after="120" w:line="300"/>
      </w:pPr>
      <w:r>
        <w:rPr>
          <w:rFonts w:ascii="Cambria" w:cs="Cambria" w:eastAsia="Cambria" w:hAnsi="Cambria"/>
          <w:color w:val="333333"/>
          <w:sz w:val="22"/>
          <w:szCs w:val="22"/>
        </w:rPr>
        <w:t xml:space="preserve">Biennial waves: 2009, 2011, 2013, 2015, 2017, 2019, 2021, 2023 (8 waves)</w:t>
      </w:r>
    </w:p>
    <w:p>
      <w:pPr>
        <w:pStyle w:val="ListParagraph"/>
        <w:numPr>
          <w:ilvl w:val="0"/>
          <w:numId w:val="3"/>
        </w:numPr>
        <w:spacing w:after="120" w:line="300"/>
      </w:pPr>
      <w:r>
        <w:rPr>
          <w:rFonts w:ascii="Cambria" w:cs="Cambria" w:eastAsia="Cambria" w:hAnsi="Cambria"/>
          <w:color w:val="333333"/>
          <w:sz w:val="22"/>
          <w:szCs w:val="22"/>
        </w:rPr>
        <w:t xml:space="preserve">Sample: approximately 30,000 households per wave (~240,000 pooled)</w:t>
      </w:r>
    </w:p>
    <w:p>
      <w:pPr>
        <w:pStyle w:val="ListParagraph"/>
        <w:numPr>
          <w:ilvl w:val="0"/>
          <w:numId w:val="3"/>
        </w:numPr>
        <w:spacing w:after="120" w:line="300"/>
      </w:pPr>
      <w:r>
        <w:rPr>
          <w:rFonts w:ascii="Cambria" w:cs="Cambria" w:eastAsia="Cambria" w:hAnsi="Cambria"/>
          <w:color w:val="333333"/>
          <w:sz w:val="22"/>
          <w:szCs w:val="22"/>
        </w:rPr>
        <w:t xml:space="preserve">Individual-level variables: mobile banking usage, online banking, primary method of bank account access, bank account ownership, use of alternative financial services, credit product usage</w:t>
      </w:r>
    </w:p>
    <w:p>
      <w:pPr>
        <w:pStyle w:val="ListParagraph"/>
        <w:numPr>
          <w:ilvl w:val="0"/>
          <w:numId w:val="3"/>
        </w:numPr>
        <w:spacing w:after="120" w:line="300"/>
      </w:pPr>
      <w:r>
        <w:rPr>
          <w:rFonts w:ascii="Cambria" w:cs="Cambria" w:eastAsia="Cambria" w:hAnsi="Cambria"/>
          <w:color w:val="333333"/>
          <w:sz w:val="22"/>
          <w:szCs w:val="22"/>
        </w:rPr>
        <w:t xml:space="preserve">Employment from CPS base: self-employment status (class of worker), occupation, industry, hours, earnings</w:t>
      </w:r>
    </w:p>
    <w:p>
      <w:pPr>
        <w:pStyle w:val="ListParagraph"/>
        <w:numPr>
          <w:ilvl w:val="0"/>
          <w:numId w:val="3"/>
        </w:numPr>
        <w:spacing w:after="120" w:line="300"/>
      </w:pPr>
      <w:r>
        <w:rPr>
          <w:rFonts w:ascii="Cambria" w:cs="Cambria" w:eastAsia="Cambria" w:hAnsi="Cambria"/>
          <w:color w:val="333333"/>
          <w:sz w:val="22"/>
          <w:szCs w:val="22"/>
        </w:rPr>
        <w:t xml:space="preserve">Demographics: age, race, education, household income, household composition, disability status</w:t>
      </w:r>
    </w:p>
    <w:p>
      <w:pPr>
        <w:pStyle w:val="ListParagraph"/>
        <w:numPr>
          <w:ilvl w:val="0"/>
          <w:numId w:val="3"/>
        </w:numPr>
        <w:spacing w:after="120" w:line="300"/>
      </w:pPr>
      <w:r>
        <w:rPr>
          <w:rFonts w:ascii="Cambria" w:cs="Cambria" w:eastAsia="Cambria" w:hAnsi="Cambria"/>
          <w:color w:val="333333"/>
          <w:sz w:val="22"/>
          <w:szCs w:val="22"/>
        </w:rPr>
        <w:t xml:space="preserve">Geography: state, 260+ CBSAs, 277 counties, 97 principal cities</w:t>
      </w:r>
    </w:p>
    <w:p>
      <w:pPr>
        <w:pStyle w:val="ListParagraph"/>
        <w:numPr>
          <w:ilvl w:val="0"/>
          <w:numId w:val="3"/>
        </w:numPr>
        <w:spacing w:after="120" w:line="300"/>
      </w:pPr>
      <w:r>
        <w:rPr>
          <w:rFonts w:ascii="Cambria" w:cs="Cambria" w:eastAsia="Cambria" w:hAnsi="Cambria"/>
          <w:color w:val="333333"/>
          <w:sz w:val="22"/>
          <w:szCs w:val="22"/>
        </w:rPr>
        <w:t xml:space="preserve">Public-use microdata files with Stata, SAS, and R programs available at fdic.gov</w:t>
      </w:r>
    </w:p>
    <w:p>
      <w:pPr>
        <w:pStyle w:val="ListParagraph"/>
        <w:numPr>
          <w:ilvl w:val="0"/>
          <w:numId w:val="3"/>
        </w:numPr>
        <w:spacing w:after="120" w:line="300"/>
      </w:pPr>
      <w:r>
        <w:rPr>
          <w:rFonts w:ascii="Cambria" w:cs="Cambria" w:eastAsia="Cambria" w:hAnsi="Cambria"/>
          <w:color w:val="333333"/>
          <w:sz w:val="22"/>
          <w:szCs w:val="22"/>
        </w:rPr>
        <w:t xml:space="preserve">Multi-year analysis dataset with harmonized variables and five-year pooled weights</w:t>
      </w:r>
    </w:p>
    <w:p>
      <w:pPr>
        <w:pStyle w:val="Heading2"/>
      </w:pPr>
      <w:r>
        <w:t xml:space="preserve">3.2 FDIC Summary of Deposits (SOD)</w:t>
      </w:r>
    </w:p>
    <w:p>
      <w:pPr>
        <w:spacing w:after="200" w:line="300"/>
      </w:pPr>
      <w:r>
        <w:rPr>
          <w:rFonts w:ascii="Cambria" w:cs="Cambria" w:eastAsia="Cambria" w:hAnsi="Cambria"/>
          <w:color w:val="333333"/>
          <w:sz w:val="22"/>
          <w:szCs w:val="22"/>
        </w:rPr>
        <w:t xml:space="preserve">Annual survey of every FDIC-insured bank branch location in the United States, with latitude/longitude coordinates. Used to construct:</w:t>
      </w:r>
    </w:p>
    <w:p>
      <w:pPr>
        <w:pStyle w:val="ListParagraph"/>
        <w:numPr>
          <w:ilvl w:val="0"/>
          <w:numId w:val="3"/>
        </w:numPr>
        <w:spacing w:after="120" w:line="300"/>
      </w:pPr>
      <w:r>
        <w:rPr>
          <w:rFonts w:ascii="Cambria" w:cs="Cambria" w:eastAsia="Cambria" w:hAnsi="Cambria"/>
          <w:color w:val="333333"/>
          <w:sz w:val="22"/>
          <w:szCs w:val="22"/>
        </w:rPr>
        <w:t xml:space="preserve">CBSA-level branch counts and branch density (branches per 10,000 residents)</w:t>
      </w:r>
    </w:p>
    <w:p>
      <w:pPr>
        <w:pStyle w:val="ListParagraph"/>
        <w:numPr>
          <w:ilvl w:val="0"/>
          <w:numId w:val="3"/>
        </w:numPr>
        <w:spacing w:after="120" w:line="300"/>
      </w:pPr>
      <w:r>
        <w:rPr>
          <w:rFonts w:ascii="Cambria" w:cs="Cambria" w:eastAsia="Cambria" w:hAnsi="Cambria"/>
          <w:color w:val="333333"/>
          <w:sz w:val="22"/>
          <w:szCs w:val="22"/>
        </w:rPr>
        <w:t xml:space="preserve">Branch openings and closures by CBSA-year</w:t>
      </w:r>
    </w:p>
    <w:p>
      <w:pPr>
        <w:pStyle w:val="ListParagraph"/>
        <w:numPr>
          <w:ilvl w:val="0"/>
          <w:numId w:val="3"/>
        </w:numPr>
        <w:spacing w:after="120" w:line="300"/>
      </w:pPr>
      <w:r>
        <w:rPr>
          <w:rFonts w:ascii="Cambria" w:cs="Cambria" w:eastAsia="Cambria" w:hAnsi="Cambria"/>
          <w:color w:val="333333"/>
          <w:sz w:val="22"/>
          <w:szCs w:val="22"/>
        </w:rPr>
        <w:t xml:space="preserve">Banking desert classification at the CBSA level</w:t>
      </w:r>
    </w:p>
    <w:p>
      <w:pPr>
        <w:pStyle w:val="ListParagraph"/>
        <w:numPr>
          <w:ilvl w:val="0"/>
          <w:numId w:val="3"/>
        </w:numPr>
        <w:spacing w:after="120" w:line="300"/>
      </w:pPr>
      <w:r>
        <w:rPr>
          <w:rFonts w:ascii="Cambria" w:cs="Cambria" w:eastAsia="Cambria" w:hAnsi="Cambria"/>
          <w:color w:val="333333"/>
          <w:sz w:val="22"/>
          <w:szCs w:val="22"/>
        </w:rPr>
        <w:t xml:space="preserve">Available annually from 1994 to present, downloadable from fdic.gov</w:t>
      </w:r>
    </w:p>
    <w:p>
      <w:pPr>
        <w:pStyle w:val="Heading2"/>
      </w:pPr>
      <w:r>
        <w:t xml:space="preserve">3.3 American Community Survey (ACS)</w:t>
      </w:r>
    </w:p>
    <w:p>
      <w:pPr>
        <w:spacing w:after="200" w:line="300"/>
      </w:pPr>
      <w:r>
        <w:rPr>
          <w:rFonts w:ascii="Cambria" w:cs="Cambria" w:eastAsia="Cambria" w:hAnsi="Cambria"/>
          <w:color w:val="333333"/>
          <w:sz w:val="22"/>
          <w:szCs w:val="22"/>
        </w:rPr>
        <w:t xml:space="preserve">Used for CBSA-level controls: internet access/broadband penetration, smartphone ownership (proxy for mobile banking capacity), demographic composition, industry mix, unemployment rates, median household income. Available annually from the Census Bureau.</w:t>
      </w:r>
    </w:p>
    <w:p>
      <w:pPr>
        <w:pStyle w:val="Heading2"/>
      </w:pPr>
      <w:r>
        <w:t xml:space="preserve">3.4 Data Construction</w:t>
      </w:r>
    </w:p>
    <w:p>
      <w:pPr>
        <w:spacing w:after="200" w:line="300"/>
      </w:pPr>
      <w:r>
        <w:rPr>
          <w:rFonts w:ascii="Cambria" w:cs="Cambria" w:eastAsia="Cambria" w:hAnsi="Cambria"/>
          <w:color w:val="333333"/>
          <w:sz w:val="22"/>
          <w:szCs w:val="22"/>
        </w:rPr>
        <w:t xml:space="preserve">The merged analysis dataset is constructed as follows:</w:t>
      </w:r>
    </w:p>
    <w:p>
      <w:pPr>
        <w:pStyle w:val="ListParagraph"/>
        <w:numPr>
          <w:ilvl w:val="0"/>
          <w:numId w:val="4"/>
        </w:numPr>
        <w:spacing w:after="140" w:line="300"/>
      </w:pPr>
      <w:r>
        <w:rPr>
          <w:rFonts w:ascii="Cambria" w:cs="Cambria" w:eastAsia="Cambria" w:hAnsi="Cambria"/>
          <w:b/>
          <w:bCs/>
          <w:color w:val="333333"/>
          <w:sz w:val="22"/>
          <w:szCs w:val="22"/>
        </w:rPr>
        <w:t xml:space="preserve">Extract individual-level records </w:t>
      </w:r>
      <w:r>
        <w:rPr>
          <w:rFonts w:ascii="Cambria" w:cs="Cambria" w:eastAsia="Cambria" w:hAnsi="Cambria"/>
          <w:color w:val="333333"/>
          <w:sz w:val="22"/>
          <w:szCs w:val="22"/>
        </w:rPr>
        <w:t xml:space="preserve">from each FDIC/CPS wave with mobile banking usage, employment status, demographics, and CBSA identifiers.</w:t>
      </w:r>
    </w:p>
    <w:p>
      <w:pPr>
        <w:pStyle w:val="ListParagraph"/>
        <w:numPr>
          <w:ilvl w:val="0"/>
          <w:numId w:val="4"/>
        </w:numPr>
        <w:spacing w:after="140" w:line="300"/>
      </w:pPr>
      <w:r>
        <w:rPr>
          <w:rFonts w:ascii="Cambria" w:cs="Cambria" w:eastAsia="Cambria" w:hAnsi="Cambria"/>
          <w:b/>
          <w:bCs/>
          <w:color w:val="333333"/>
          <w:sz w:val="22"/>
          <w:szCs w:val="22"/>
        </w:rPr>
        <w:t xml:space="preserve">Construct CBSA-year panel </w:t>
      </w:r>
      <w:r>
        <w:rPr>
          <w:rFonts w:ascii="Cambria" w:cs="Cambria" w:eastAsia="Cambria" w:hAnsi="Cambria"/>
          <w:color w:val="333333"/>
          <w:sz w:val="22"/>
          <w:szCs w:val="22"/>
        </w:rPr>
        <w:t xml:space="preserve">from SOD data: total branches, net branch changes (openings minus closures), banking desert indicators, branch density.</w:t>
      </w:r>
    </w:p>
    <w:p>
      <w:pPr>
        <w:pStyle w:val="ListParagraph"/>
        <w:numPr>
          <w:ilvl w:val="0"/>
          <w:numId w:val="4"/>
        </w:numPr>
        <w:spacing w:after="140" w:line="300"/>
      </w:pPr>
      <w:r>
        <w:rPr>
          <w:rFonts w:ascii="Cambria" w:cs="Cambria" w:eastAsia="Cambria" w:hAnsi="Cambria"/>
          <w:b/>
          <w:bCs/>
          <w:color w:val="333333"/>
          <w:sz w:val="22"/>
          <w:szCs w:val="22"/>
        </w:rPr>
        <w:t xml:space="preserve">Merge CBSA-level branch variables </w:t>
      </w:r>
      <w:r>
        <w:rPr>
          <w:rFonts w:ascii="Cambria" w:cs="Cambria" w:eastAsia="Cambria" w:hAnsi="Cambria"/>
          <w:color w:val="333333"/>
          <w:sz w:val="22"/>
          <w:szCs w:val="22"/>
        </w:rPr>
        <w:t xml:space="preserve">to individual records by CBSA and survey year.</w:t>
      </w:r>
    </w:p>
    <w:p>
      <w:pPr>
        <w:pStyle w:val="ListParagraph"/>
        <w:numPr>
          <w:ilvl w:val="0"/>
          <w:numId w:val="4"/>
        </w:numPr>
        <w:spacing w:after="140" w:line="300"/>
      </w:pPr>
      <w:r>
        <w:rPr>
          <w:rFonts w:ascii="Cambria" w:cs="Cambria" w:eastAsia="Cambria" w:hAnsi="Cambria"/>
          <w:b/>
          <w:bCs/>
          <w:color w:val="333333"/>
          <w:sz w:val="22"/>
          <w:szCs w:val="22"/>
        </w:rPr>
        <w:t xml:space="preserve">Append ACS-derived CBSA controls </w:t>
      </w:r>
      <w:r>
        <w:rPr>
          <w:rFonts w:ascii="Cambria" w:cs="Cambria" w:eastAsia="Cambria" w:hAnsi="Cambria"/>
          <w:color w:val="333333"/>
          <w:sz w:val="22"/>
          <w:szCs w:val="22"/>
        </w:rPr>
        <w:t xml:space="preserve">(broadband penetration, demographic composition, industry shares) to the merged dataset.</w:t>
      </w:r>
    </w:p>
    <w:p>
      <w:pPr>
        <w:pStyle w:val="Heading2"/>
      </w:pPr>
      <w:r>
        <w:t xml:space="preserve">3.5 Data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c>
          <w:tcPr>
            <w:tcW w:type="dxa" w:w="22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Variables</w:t>
            </w:r>
          </w:p>
        </w:tc>
        <w:tc>
          <w:tcPr>
            <w:tcW w:type="dxa" w:w="24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Geography</w:t>
            </w:r>
          </w:p>
        </w:tc>
        <w:tc>
          <w:tcPr>
            <w:tcW w:type="dxa" w:w="21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Coverage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FDIC/CPS Survey</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Mobile banking, self-employment, demographics</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State, 260+ CBSAs, 277 counties</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2009–2023 (biennial)</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ambria" w:cs="Cambria" w:eastAsia="Cambria" w:hAnsi="Cambria"/>
                <w:color w:val="333333"/>
                <w:sz w:val="20"/>
                <w:szCs w:val="20"/>
              </w:rPr>
              <w:t xml:space="preserve">FDIC SOD</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ambria" w:cs="Cambria" w:eastAsia="Cambria" w:hAnsi="Cambria"/>
                <w:color w:val="333333"/>
                <w:sz w:val="20"/>
                <w:szCs w:val="20"/>
              </w:rPr>
              <w:t xml:space="preserve">Branch locations, openings, closures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ambria" w:cs="Cambria" w:eastAsia="Cambria" w:hAnsi="Cambria"/>
                <w:color w:val="333333"/>
                <w:sz w:val="20"/>
                <w:szCs w:val="20"/>
              </w:rPr>
              <w:t xml:space="preserve">Branch-level (geocoded)</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ambria" w:cs="Cambria" w:eastAsia="Cambria" w:hAnsi="Cambria"/>
                <w:color w:val="333333"/>
                <w:sz w:val="20"/>
                <w:szCs w:val="20"/>
              </w:rPr>
              <w:t xml:space="preserve">1994–present (annual)</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ACS</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Broadband, demographics, industry</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Census tract to national</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2005–present (annual)</w:t>
            </w:r>
          </w:p>
        </w:tc>
      </w:tr>
    </w:tbl>
    <w:p>
      <w:pPr>
        <w:spacing w:after="200"/>
      </w:pPr>
    </w:p>
    <w:p>
      <w:pPr>
        <w:pStyle w:val="Heading1"/>
      </w:pPr>
      <w:r>
        <w:t xml:space="preserve">4. Empirical Strategy</w:t>
      </w:r>
    </w:p>
    <w:p>
      <w:pPr>
        <w:pStyle w:val="Heading2"/>
      </w:pPr>
      <w:r>
        <w:t xml:space="preserve">4.1 Descriptive Analysis</w:t>
      </w:r>
    </w:p>
    <w:p>
      <w:pPr>
        <w:spacing w:after="200" w:line="300"/>
      </w:pPr>
      <w:r>
        <w:rPr>
          <w:rFonts w:ascii="Cambria" w:cs="Cambria" w:eastAsia="Cambria" w:hAnsi="Cambria"/>
          <w:color w:val="333333"/>
          <w:sz w:val="22"/>
          <w:szCs w:val="22"/>
        </w:rPr>
        <w:t xml:space="preserve">Before moving to causal inference, the first stage of the project documents new stylized facts using the pooled FDIC/CPS microdata:</w:t>
      </w:r>
    </w:p>
    <w:p>
      <w:pPr>
        <w:pStyle w:val="ListParagraph"/>
        <w:numPr>
          <w:ilvl w:val="0"/>
          <w:numId w:val="5"/>
        </w:numPr>
        <w:spacing w:after="140" w:line="300"/>
      </w:pPr>
      <w:r>
        <w:rPr>
          <w:rFonts w:ascii="Cambria" w:cs="Cambria" w:eastAsia="Cambria" w:hAnsi="Cambria"/>
          <w:b/>
          <w:bCs/>
          <w:color w:val="333333"/>
          <w:sz w:val="22"/>
          <w:szCs w:val="22"/>
        </w:rPr>
        <w:t xml:space="preserve">Mobile banking and self-employment profiles. </w:t>
      </w:r>
      <w:r>
        <w:rPr>
          <w:rFonts w:ascii="Cambria" w:cs="Cambria" w:eastAsia="Cambria" w:hAnsi="Cambria"/>
          <w:color w:val="333333"/>
          <w:sz w:val="22"/>
          <w:szCs w:val="22"/>
        </w:rPr>
        <w:t xml:space="preserve">Cross-tabulations and binscatter plots of mobile banking adoption rates by self-employment status, controlling for age, income, and education. Is mobile banking adoption higher among the self-employed? Has this changed over the 2009–2023 period?</w:t>
      </w:r>
    </w:p>
    <w:p>
      <w:pPr>
        <w:pStyle w:val="ListParagraph"/>
        <w:numPr>
          <w:ilvl w:val="0"/>
          <w:numId w:val="5"/>
        </w:numPr>
        <w:spacing w:after="140" w:line="300"/>
      </w:pPr>
      <w:r>
        <w:rPr>
          <w:rFonts w:ascii="Cambria" w:cs="Cambria" w:eastAsia="Cambria" w:hAnsi="Cambria"/>
          <w:b/>
          <w:bCs/>
          <w:color w:val="333333"/>
          <w:sz w:val="22"/>
          <w:szCs w:val="22"/>
        </w:rPr>
        <w:t xml:space="preserve">Branch closure exposure and labor market transitions. </w:t>
      </w:r>
      <w:r>
        <w:rPr>
          <w:rFonts w:ascii="Cambria" w:cs="Cambria" w:eastAsia="Cambria" w:hAnsi="Cambria"/>
          <w:color w:val="333333"/>
          <w:sz w:val="22"/>
          <w:szCs w:val="22"/>
        </w:rPr>
        <w:t xml:space="preserve">Correlations between CBSA-level branch closure intensity and self-employment rates across survey waves.</w:t>
      </w:r>
    </w:p>
    <w:p>
      <w:pPr>
        <w:pStyle w:val="ListParagraph"/>
        <w:numPr>
          <w:ilvl w:val="0"/>
          <w:numId w:val="5"/>
        </w:numPr>
        <w:spacing w:after="140" w:line="300"/>
      </w:pPr>
      <w:r>
        <w:rPr>
          <w:rFonts w:ascii="Cambria" w:cs="Cambria" w:eastAsia="Cambria" w:hAnsi="Cambria"/>
          <w:b/>
          <w:bCs/>
          <w:color w:val="333333"/>
          <w:sz w:val="22"/>
          <w:szCs w:val="22"/>
        </w:rPr>
        <w:t xml:space="preserve">Heterogeneity mapping. </w:t>
      </w:r>
      <w:r>
        <w:rPr>
          <w:rFonts w:ascii="Cambria" w:cs="Cambria" w:eastAsia="Cambria" w:hAnsi="Cambria"/>
          <w:color w:val="333333"/>
          <w:sz w:val="22"/>
          <w:szCs w:val="22"/>
        </w:rPr>
        <w:t xml:space="preserve">Document how the mobile banking–self-employment relationship varies by race, education, income, and urban/rural classification.</w:t>
      </w:r>
    </w:p>
    <w:p>
      <w:pPr>
        <w:pStyle w:val="Heading2"/>
      </w:pPr>
      <w:r>
        <w:t xml:space="preserve">4.2 Baseline Reduced-Form Specification</w:t>
      </w:r>
    </w:p>
    <w:p>
      <w:pPr>
        <w:spacing w:after="200" w:line="300"/>
      </w:pPr>
      <w:r>
        <w:rPr>
          <w:rFonts w:ascii="Cambria" w:cs="Cambria" w:eastAsia="Cambria" w:hAnsi="Cambria"/>
          <w:color w:val="333333"/>
          <w:sz w:val="22"/>
          <w:szCs w:val="22"/>
        </w:rPr>
        <w:t xml:space="preserve">The core specification regresses individual self-employment status on mobile banking adoption, interacted with local branch closure intensity:</w:t>
      </w:r>
    </w:p>
    <w:p>
      <w:pPr>
        <w:spacing w:before="200" w:after="200"/>
        <w:jc w:val="center"/>
      </w:pPr>
      <w:r>
        <w:rPr>
          <w:rFonts w:ascii="Cambria" w:cs="Cambria" w:eastAsia="Cambria" w:hAnsi="Cambria"/>
          <w:i/>
          <w:iCs/>
          <w:color w:val="333333"/>
          <w:sz w:val="21"/>
          <w:szCs w:val="21"/>
        </w:rPr>
        <w:t xml:space="preserve">SEᵢⱼₜ = α + β₁ Mobileᵢₜ + β₂ ΔBranchesⱼₜ + β₃ (Mobileᵢₜ × ΔBranchesⱼₜ) + Xᵢₜ'γ + Zⱼₜ'δ + φⱼ + λₜ + εᵢⱼₜ</w:t>
      </w:r>
    </w:p>
    <w:p>
      <w:pPr>
        <w:spacing w:after="200" w:line="300"/>
      </w:pPr>
      <w:r>
        <w:rPr>
          <w:rFonts w:ascii="Cambria" w:cs="Cambria" w:eastAsia="Cambria" w:hAnsi="Cambria"/>
          <w:color w:val="333333"/>
          <w:sz w:val="22"/>
          <w:szCs w:val="22"/>
        </w:rPr>
        <w:t xml:space="preserve">where SE is an indicator for self-employment for individual i in CBSA j at time t; Mobile is an indicator for mobile banking as primary account access; ΔBranches is the change in branch count per 10,000 residents in the CBSA; X includes individual demographics (age, education, race, income, household composition); Z includes CBSA-level controls from ACS; φ and λ are CBSA and year fixed effects; standard errors are clustered at the CBSA level.</w:t>
      </w:r>
    </w:p>
    <w:p>
      <w:pPr>
        <w:spacing w:after="200" w:line="300"/>
      </w:pPr>
      <w:r>
        <w:rPr>
          <w:rFonts w:ascii="Cambria" w:cs="Cambria" w:eastAsia="Cambria" w:hAnsi="Cambria"/>
          <w:b/>
          <w:bCs/>
          <w:color w:val="333333"/>
          <w:sz w:val="22"/>
          <w:szCs w:val="22"/>
        </w:rPr>
        <w:t xml:space="preserve">Key coefficient of interest: β₃. </w:t>
      </w:r>
      <w:r>
        <w:rPr>
          <w:rFonts w:ascii="Cambria" w:cs="Cambria" w:eastAsia="Cambria" w:hAnsi="Cambria"/>
          <w:color w:val="333333"/>
          <w:sz w:val="22"/>
          <w:szCs w:val="22"/>
        </w:rPr>
        <w:t xml:space="preserve">If mobile banking facilitates self-employment by substituting for physical branch access, we expect β₃ &gt; 0 when ΔBranches &lt; 0 (i.e., mobile banking has a stronger positive effect on self-employment in areas losing branches).</w:t>
      </w:r>
    </w:p>
    <w:p>
      <w:pPr>
        <w:pStyle w:val="Heading2"/>
      </w:pPr>
      <w:r>
        <w:t xml:space="preserve">4.3 Identification Challenges and Solutions</w:t>
      </w:r>
    </w:p>
    <w:p>
      <w:pPr>
        <w:spacing w:after="200" w:line="300"/>
      </w:pPr>
      <w:r>
        <w:rPr>
          <w:rFonts w:ascii="Cambria" w:cs="Cambria" w:eastAsia="Cambria" w:hAnsi="Cambria"/>
          <w:b/>
          <w:bCs/>
          <w:i/>
          <w:iCs/>
          <w:color w:val="333333"/>
          <w:sz w:val="22"/>
          <w:szCs w:val="22"/>
        </w:rPr>
        <w:t xml:space="preserve">Endogeneity of mobile banking adoption. </w:t>
      </w:r>
      <w:r>
        <w:rPr>
          <w:rFonts w:ascii="Cambria" w:cs="Cambria" w:eastAsia="Cambria" w:hAnsi="Cambria"/>
          <w:color w:val="333333"/>
          <w:sz w:val="22"/>
          <w:szCs w:val="22"/>
        </w:rPr>
        <w:t xml:space="preserve">Individuals who adopt mobile banking may differ systematically from those who do not (younger, more educated, higher income, more tech-savvy). These same characteristics predict self-employment. Several strategies address this:</w:t>
      </w:r>
    </w:p>
    <w:p>
      <w:pPr>
        <w:pStyle w:val="ListParagraph"/>
        <w:numPr>
          <w:ilvl w:val="0"/>
          <w:numId w:val="6"/>
        </w:numPr>
        <w:spacing w:after="140" w:line="300"/>
      </w:pPr>
      <w:r>
        <w:rPr>
          <w:rFonts w:ascii="Cambria" w:cs="Cambria" w:eastAsia="Cambria" w:hAnsi="Cambria"/>
          <w:b/>
          <w:bCs/>
          <w:color w:val="333333"/>
          <w:sz w:val="22"/>
          <w:szCs w:val="22"/>
        </w:rPr>
        <w:t xml:space="preserve">Rich individual controls. </w:t>
      </w:r>
      <w:r>
        <w:rPr>
          <w:rFonts w:ascii="Cambria" w:cs="Cambria" w:eastAsia="Cambria" w:hAnsi="Cambria"/>
          <w:color w:val="333333"/>
          <w:sz w:val="22"/>
          <w:szCs w:val="22"/>
        </w:rPr>
        <w:t xml:space="preserve">The CPS base provides detailed demographics, occupation, industry, and income. Conditioning on these absorbs much of the observable selection.</w:t>
      </w:r>
    </w:p>
    <w:p>
      <w:pPr>
        <w:pStyle w:val="ListParagraph"/>
        <w:numPr>
          <w:ilvl w:val="0"/>
          <w:numId w:val="6"/>
        </w:numPr>
        <w:spacing w:after="140" w:line="300"/>
      </w:pPr>
      <w:r>
        <w:rPr>
          <w:rFonts w:ascii="Cambria" w:cs="Cambria" w:eastAsia="Cambria" w:hAnsi="Cambria"/>
          <w:b/>
          <w:bCs/>
          <w:color w:val="333333"/>
          <w:sz w:val="22"/>
          <w:szCs w:val="22"/>
        </w:rPr>
        <w:t xml:space="preserve">CBSA fixed effects. </w:t>
      </w:r>
      <w:r>
        <w:rPr>
          <w:rFonts w:ascii="Cambria" w:cs="Cambria" w:eastAsia="Cambria" w:hAnsi="Cambria"/>
          <w:color w:val="333333"/>
          <w:sz w:val="22"/>
          <w:szCs w:val="22"/>
        </w:rPr>
        <w:t xml:space="preserve">Comparing individuals within the same CBSA removes all time-invariant local labor market characteristics.</w:t>
      </w:r>
    </w:p>
    <w:p>
      <w:pPr>
        <w:pStyle w:val="ListParagraph"/>
        <w:numPr>
          <w:ilvl w:val="0"/>
          <w:numId w:val="6"/>
        </w:numPr>
        <w:spacing w:after="140" w:line="300"/>
      </w:pPr>
      <w:r>
        <w:rPr>
          <w:rFonts w:ascii="Cambria" w:cs="Cambria" w:eastAsia="Cambria" w:hAnsi="Cambria"/>
          <w:b/>
          <w:bCs/>
          <w:color w:val="333333"/>
          <w:sz w:val="22"/>
          <w:szCs w:val="22"/>
        </w:rPr>
        <w:t xml:space="preserve">Instrumental variable approach. </w:t>
      </w:r>
      <w:r>
        <w:rPr>
          <w:rFonts w:ascii="Cambria" w:cs="Cambria" w:eastAsia="Cambria" w:hAnsi="Cambria"/>
          <w:color w:val="333333"/>
          <w:sz w:val="22"/>
          <w:szCs w:val="22"/>
        </w:rPr>
        <w:t xml:space="preserve">Instrument individual mobile banking adoption with CBSA-level broadband penetration growth (from ACS), interacted with individual smartphone ownership. The logic: broadband infrastructure is a supply-side shifter of mobile banking access that does not directly affect self-employment except through the banking channel. Exclusion restriction discussed below.</w:t>
      </w:r>
    </w:p>
    <w:p>
      <w:pPr>
        <w:pStyle w:val="ListParagraph"/>
        <w:numPr>
          <w:ilvl w:val="0"/>
          <w:numId w:val="6"/>
        </w:numPr>
        <w:spacing w:after="140" w:line="300"/>
      </w:pPr>
      <w:r>
        <w:rPr>
          <w:rFonts w:ascii="Cambria" w:cs="Cambria" w:eastAsia="Cambria" w:hAnsi="Cambria"/>
          <w:b/>
          <w:bCs/>
          <w:color w:val="333333"/>
          <w:sz w:val="22"/>
          <w:szCs w:val="22"/>
        </w:rPr>
        <w:t xml:space="preserve">Shift-share (Bartik) instrument. </w:t>
      </w:r>
      <w:r>
        <w:rPr>
          <w:rFonts w:ascii="Cambria" w:cs="Cambria" w:eastAsia="Cambria" w:hAnsi="Cambria"/>
          <w:color w:val="333333"/>
          <w:sz w:val="22"/>
          <w:szCs w:val="22"/>
        </w:rPr>
        <w:t xml:space="preserve">Construct predicted mobile banking adoption for each CBSA-year using the national trend in mobile banking interacted with pre-period CBSA characteristics (initial smartphone penetration, population age structure). This isolates the supply-driven component of mobile banking growth.</w:t>
      </w:r>
    </w:p>
    <w:p>
      <w:pPr>
        <w:spacing w:after="200" w:line="300"/>
      </w:pPr>
      <w:r>
        <w:rPr>
          <w:rFonts w:ascii="Cambria" w:cs="Cambria" w:eastAsia="Cambria" w:hAnsi="Cambria"/>
          <w:b/>
          <w:bCs/>
          <w:i/>
          <w:iCs/>
          <w:color w:val="333333"/>
          <w:sz w:val="22"/>
          <w:szCs w:val="22"/>
        </w:rPr>
        <w:t xml:space="preserve">Exclusion restriction concerns. </w:t>
      </w:r>
      <w:r>
        <w:rPr>
          <w:rFonts w:ascii="Cambria" w:cs="Cambria" w:eastAsia="Cambria" w:hAnsi="Cambria"/>
          <w:color w:val="333333"/>
          <w:sz w:val="22"/>
          <w:szCs w:val="22"/>
        </w:rPr>
        <w:t xml:space="preserve">Broadband infrastructure could affect self-employment through channels other than banking (e.g., enabling e-commerce, remote work). To address this: (a) control directly for CBSA-level internet-dependent industry shares; (b) test overidentification when using multiple instruments; (c) present the IV results alongside reduced-form and OLS as a spectrum of estimates.</w:t>
      </w:r>
    </w:p>
    <w:p>
      <w:pPr>
        <w:pStyle w:val="Heading2"/>
      </w:pPr>
      <w:r>
        <w:t xml:space="preserve">4.4 Heterogeneity Analysis</w:t>
      </w:r>
    </w:p>
    <w:p>
      <w:pPr>
        <w:spacing w:after="200" w:line="300"/>
      </w:pPr>
      <w:r>
        <w:rPr>
          <w:rFonts w:ascii="Cambria" w:cs="Cambria" w:eastAsia="Cambria" w:hAnsi="Cambria"/>
          <w:color w:val="333333"/>
          <w:sz w:val="22"/>
          <w:szCs w:val="22"/>
        </w:rPr>
        <w:t xml:space="preserve">Estimate the baseline specification allowing for differential effects across:</w:t>
      </w:r>
    </w:p>
    <w:p>
      <w:pPr>
        <w:pStyle w:val="ListParagraph"/>
        <w:numPr>
          <w:ilvl w:val="0"/>
          <w:numId w:val="3"/>
        </w:numPr>
        <w:spacing w:after="120" w:line="300"/>
      </w:pPr>
      <w:r>
        <w:rPr>
          <w:rFonts w:ascii="Cambria" w:cs="Cambria" w:eastAsia="Cambria" w:hAnsi="Cambria"/>
          <w:b/>
          <w:bCs/>
          <w:color w:val="333333"/>
          <w:sz w:val="22"/>
          <w:szCs w:val="22"/>
        </w:rPr>
        <w:t xml:space="preserve">Race and ethnicity: </w:t>
      </w:r>
      <w:r>
        <w:rPr>
          <w:rFonts w:ascii="Cambria" w:cs="Cambria" w:eastAsia="Cambria" w:hAnsi="Cambria"/>
          <w:color w:val="333333"/>
          <w:sz w:val="22"/>
          <w:szCs w:val="22"/>
        </w:rPr>
        <w:t xml:space="preserve">Black and Hispanic communities are disproportionately affected by banking deserts. Mobile banking may be especially important for financial inclusion in these communities.</w:t>
      </w:r>
    </w:p>
    <w:p>
      <w:pPr>
        <w:pStyle w:val="ListParagraph"/>
        <w:numPr>
          <w:ilvl w:val="0"/>
          <w:numId w:val="3"/>
        </w:numPr>
        <w:spacing w:after="120" w:line="300"/>
      </w:pPr>
      <w:r>
        <w:rPr>
          <w:rFonts w:ascii="Cambria" w:cs="Cambria" w:eastAsia="Cambria" w:hAnsi="Cambria"/>
          <w:b/>
          <w:bCs/>
          <w:color w:val="333333"/>
          <w:sz w:val="22"/>
          <w:szCs w:val="22"/>
        </w:rPr>
        <w:t xml:space="preserve">Income: </w:t>
      </w:r>
      <w:r>
        <w:rPr>
          <w:rFonts w:ascii="Cambria" w:cs="Cambria" w:eastAsia="Cambria" w:hAnsi="Cambria"/>
          <w:color w:val="333333"/>
          <w:sz w:val="22"/>
          <w:szCs w:val="22"/>
        </w:rPr>
        <w:t xml:space="preserve">Dante and Makridis (2021) find mobile banking adoption is monotonically decreasing in household income above $125K. Lower-income self-employed may benefit most.</w:t>
      </w:r>
    </w:p>
    <w:p>
      <w:pPr>
        <w:pStyle w:val="ListParagraph"/>
        <w:numPr>
          <w:ilvl w:val="0"/>
          <w:numId w:val="3"/>
        </w:numPr>
        <w:spacing w:after="120" w:line="300"/>
      </w:pPr>
      <w:r>
        <w:rPr>
          <w:rFonts w:ascii="Cambria" w:cs="Cambria" w:eastAsia="Cambria" w:hAnsi="Cambria"/>
          <w:b/>
          <w:bCs/>
          <w:color w:val="333333"/>
          <w:sz w:val="22"/>
          <w:szCs w:val="22"/>
        </w:rPr>
        <w:t xml:space="preserve">Urban vs. rural: </w:t>
      </w:r>
      <w:r>
        <w:rPr>
          <w:rFonts w:ascii="Cambria" w:cs="Cambria" w:eastAsia="Cambria" w:hAnsi="Cambria"/>
          <w:color w:val="333333"/>
          <w:sz w:val="22"/>
          <w:szCs w:val="22"/>
        </w:rPr>
        <w:t xml:space="preserve">Rural areas face both more branch closures and weaker broadband infrastructure, creating competing effects.</w:t>
      </w:r>
    </w:p>
    <w:p>
      <w:pPr>
        <w:pStyle w:val="ListParagraph"/>
        <w:numPr>
          <w:ilvl w:val="0"/>
          <w:numId w:val="3"/>
        </w:numPr>
        <w:spacing w:after="120" w:line="300"/>
      </w:pPr>
      <w:r>
        <w:rPr>
          <w:rFonts w:ascii="Cambria" w:cs="Cambria" w:eastAsia="Cambria" w:hAnsi="Cambria"/>
          <w:b/>
          <w:bCs/>
          <w:color w:val="333333"/>
          <w:sz w:val="22"/>
          <w:szCs w:val="22"/>
        </w:rPr>
        <w:t xml:space="preserve">Education: </w:t>
      </w:r>
      <w:r>
        <w:rPr>
          <w:rFonts w:ascii="Cambria" w:cs="Cambria" w:eastAsia="Cambria" w:hAnsi="Cambria"/>
          <w:color w:val="333333"/>
          <w:sz w:val="22"/>
          <w:szCs w:val="22"/>
        </w:rPr>
        <w:t xml:space="preserve">Financial literacy correlates with both mobile banking adoption and entrepreneurship success.</w:t>
      </w:r>
    </w:p>
    <w:p>
      <w:pPr>
        <w:pStyle w:val="ListParagraph"/>
        <w:numPr>
          <w:ilvl w:val="0"/>
          <w:numId w:val="3"/>
        </w:numPr>
        <w:spacing w:after="120" w:line="300"/>
      </w:pPr>
      <w:r>
        <w:rPr>
          <w:rFonts w:ascii="Cambria" w:cs="Cambria" w:eastAsia="Cambria" w:hAnsi="Cambria"/>
          <w:b/>
          <w:bCs/>
          <w:color w:val="333333"/>
          <w:sz w:val="22"/>
          <w:szCs w:val="22"/>
        </w:rPr>
        <w:t xml:space="preserve">Type of self-employment: </w:t>
      </w:r>
      <w:r>
        <w:rPr>
          <w:rFonts w:ascii="Cambria" w:cs="Cambria" w:eastAsia="Cambria" w:hAnsi="Cambria"/>
          <w:color w:val="333333"/>
          <w:sz w:val="22"/>
          <w:szCs w:val="22"/>
        </w:rPr>
        <w:t xml:space="preserve">Using CPS occupation and industry codes, distinguish incorporated vs. unincorporated self-employment as a proxy for opportunity vs. necessity entrepreneurship.</w:t>
      </w:r>
    </w:p>
    <w:p>
      <w:pPr>
        <w:pStyle w:val="Heading2"/>
      </w:pPr>
      <w:r>
        <w:t xml:space="preserve">4.5 Extension: Credit Channel Mechanism</w:t>
      </w:r>
    </w:p>
    <w:p>
      <w:pPr>
        <w:spacing w:after="200" w:line="300"/>
      </w:pPr>
      <w:r>
        <w:rPr>
          <w:rFonts w:ascii="Cambria" w:cs="Cambria" w:eastAsia="Cambria" w:hAnsi="Cambria"/>
          <w:color w:val="333333"/>
          <w:sz w:val="22"/>
          <w:szCs w:val="22"/>
        </w:rPr>
        <w:t xml:space="preserve">To investigate the mechanism, test whether mobile banking adoption is associated with greater use of mainstream credit products (credit cards, personal loans, auto loans) conditional on branch closure exposure. The FDIC survey contains detailed information on credit product usage. If mobile banking operates through the credit access channel, we expect mobile banking adopters in high-closure areas to maintain credit usage levels comparable to those in areas with stable branch networks.</w:t>
      </w:r>
    </w:p>
    <w:p>
      <w:pPr>
        <w:pStyle w:val="Heading1"/>
      </w:pPr>
      <w:r>
        <w:t xml:space="preserve">5.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80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Timeframe</w:t>
            </w:r>
          </w:p>
        </w:tc>
        <w:tc>
          <w:tcPr>
            <w:tcW w:type="dxa" w:w="496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Tasks</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1</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Months 1–2</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Download FDIC/CPS multi-year dataset, SOD branch files, ACS tables. Construct merged analysis dataset. Validate against published FDIC report statistics.</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ambria" w:cs="Cambria" w:eastAsia="Cambria" w:hAnsi="Cambria"/>
                <w:color w:val="333333"/>
                <w:sz w:val="20"/>
                <w:szCs w:val="20"/>
              </w:rPr>
              <w:t xml:space="preserve">2</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ambria" w:cs="Cambria" w:eastAsia="Cambria" w:hAnsi="Cambria"/>
                <w:color w:val="333333"/>
                <w:sz w:val="20"/>
                <w:szCs w:val="20"/>
              </w:rPr>
              <w:t xml:space="preserve">Months 2–3</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ambria" w:cs="Cambria" w:eastAsia="Cambria" w:hAnsi="Cambria"/>
                <w:color w:val="333333"/>
                <w:sz w:val="20"/>
                <w:szCs w:val="20"/>
              </w:rPr>
              <w:t xml:space="preserve">Descriptive analysis: stylized facts on mobile banking and self-employment, binscatters, cross-tabulations by demographics and geography.</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3</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Months 3–5</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Baseline OLS and fixed effects regressions. Construct instruments (broadband shift-share, Bartik). Run IV specifications. Robustness checks.</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ambria" w:cs="Cambria" w:eastAsia="Cambria" w:hAnsi="Cambria"/>
                <w:color w:val="333333"/>
                <w:sz w:val="20"/>
                <w:szCs w:val="20"/>
              </w:rPr>
              <w:t xml:space="preserve">4</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ambria" w:cs="Cambria" w:eastAsia="Cambria" w:hAnsi="Cambria"/>
                <w:color w:val="333333"/>
                <w:sz w:val="20"/>
                <w:szCs w:val="20"/>
              </w:rPr>
              <w:t xml:space="preserve">Months 5–6</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ambria" w:cs="Cambria" w:eastAsia="Cambria" w:hAnsi="Cambria"/>
                <w:color w:val="333333"/>
                <w:sz w:val="20"/>
                <w:szCs w:val="20"/>
              </w:rPr>
              <w:t xml:space="preserve">Heterogeneity analysis by race, income, geography, self-employment type. Credit channel mechanism tests.</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5</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Months 6–8</w:t>
            </w:r>
          </w:p>
        </w:tc>
        <w:tc>
          <w:tcPr>
            <w:tcW w:type="dxa" w:w="4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Write paper. Circulate for feedback. Submit to target journal.</w:t>
            </w:r>
          </w:p>
        </w:tc>
      </w:tr>
    </w:tbl>
    <w:p>
      <w:pPr>
        <w:spacing w:after="200"/>
      </w:pPr>
    </w:p>
    <w:p>
      <w:pPr>
        <w:pStyle w:val="Heading1"/>
      </w:pPr>
      <w:r>
        <w:t xml:space="preserve">6. Expected Results and Hypotheses</w:t>
      </w:r>
    </w:p>
    <w:p>
      <w:pPr>
        <w:pStyle w:val="ListParagraph"/>
        <w:numPr>
          <w:ilvl w:val="0"/>
          <w:numId w:val="7"/>
        </w:numPr>
        <w:spacing w:after="140" w:line="300"/>
      </w:pPr>
      <w:r>
        <w:rPr>
          <w:rFonts w:ascii="Cambria" w:cs="Cambria" w:eastAsia="Cambria" w:hAnsi="Cambria"/>
          <w:b/>
          <w:bCs/>
          <w:color w:val="333333"/>
          <w:sz w:val="22"/>
          <w:szCs w:val="22"/>
        </w:rPr>
        <w:t xml:space="preserve">Main effect. </w:t>
      </w:r>
      <w:r>
        <w:rPr>
          <w:rFonts w:ascii="Cambria" w:cs="Cambria" w:eastAsia="Cambria" w:hAnsi="Cambria"/>
          <w:color w:val="333333"/>
          <w:sz w:val="22"/>
          <w:szCs w:val="22"/>
        </w:rPr>
        <w:t xml:space="preserve">Mobile banking adoption is positively associated with self-employment, conditional on demographics and CBSA characteristics.</w:t>
      </w:r>
    </w:p>
    <w:p>
      <w:pPr>
        <w:pStyle w:val="ListParagraph"/>
        <w:numPr>
          <w:ilvl w:val="0"/>
          <w:numId w:val="7"/>
        </w:numPr>
        <w:spacing w:after="140" w:line="300"/>
      </w:pPr>
      <w:r>
        <w:rPr>
          <w:rFonts w:ascii="Cambria" w:cs="Cambria" w:eastAsia="Cambria" w:hAnsi="Cambria"/>
          <w:b/>
          <w:bCs/>
          <w:color w:val="333333"/>
          <w:sz w:val="22"/>
          <w:szCs w:val="22"/>
        </w:rPr>
        <w:t xml:space="preserve">Interaction effect. </w:t>
      </w:r>
      <w:r>
        <w:rPr>
          <w:rFonts w:ascii="Cambria" w:cs="Cambria" w:eastAsia="Cambria" w:hAnsi="Cambria"/>
          <w:color w:val="333333"/>
          <w:sz w:val="22"/>
          <w:szCs w:val="22"/>
        </w:rPr>
        <w:t xml:space="preserve">The positive association is stronger in CBSAs experiencing significant branch closures, consistent with mobile banking serving as a substitute credit access channel.</w:t>
      </w:r>
    </w:p>
    <w:p>
      <w:pPr>
        <w:pStyle w:val="ListParagraph"/>
        <w:numPr>
          <w:ilvl w:val="0"/>
          <w:numId w:val="7"/>
        </w:numPr>
        <w:spacing w:after="140" w:line="300"/>
      </w:pPr>
      <w:r>
        <w:rPr>
          <w:rFonts w:ascii="Cambria" w:cs="Cambria" w:eastAsia="Cambria" w:hAnsi="Cambria"/>
          <w:b/>
          <w:bCs/>
          <w:color w:val="333333"/>
          <w:sz w:val="22"/>
          <w:szCs w:val="22"/>
        </w:rPr>
        <w:t xml:space="preserve">Heterogeneity. </w:t>
      </w:r>
      <w:r>
        <w:rPr>
          <w:rFonts w:ascii="Cambria" w:cs="Cambria" w:eastAsia="Cambria" w:hAnsi="Cambria"/>
          <w:color w:val="333333"/>
          <w:sz w:val="22"/>
          <w:szCs w:val="22"/>
        </w:rPr>
        <w:t xml:space="preserve">The interaction effect is largest for minority households, lower-income households, and rural areas—populations most affected by banking deserts.</w:t>
      </w:r>
    </w:p>
    <w:p>
      <w:pPr>
        <w:pStyle w:val="ListParagraph"/>
        <w:numPr>
          <w:ilvl w:val="0"/>
          <w:numId w:val="7"/>
        </w:numPr>
        <w:spacing w:after="140" w:line="300"/>
      </w:pPr>
      <w:r>
        <w:rPr>
          <w:rFonts w:ascii="Cambria" w:cs="Cambria" w:eastAsia="Cambria" w:hAnsi="Cambria"/>
          <w:b/>
          <w:bCs/>
          <w:color w:val="333333"/>
          <w:sz w:val="22"/>
          <w:szCs w:val="22"/>
        </w:rPr>
        <w:t xml:space="preserve">Mechanism. </w:t>
      </w:r>
      <w:r>
        <w:rPr>
          <w:rFonts w:ascii="Cambria" w:cs="Cambria" w:eastAsia="Cambria" w:hAnsi="Cambria"/>
          <w:color w:val="333333"/>
          <w:sz w:val="22"/>
          <w:szCs w:val="22"/>
        </w:rPr>
        <w:t xml:space="preserve">Mobile banking adopters in high-closure areas maintain higher mainstream credit usage than non-adopters, suggesting the credit channel is operative.</w:t>
      </w:r>
    </w:p>
    <w:p>
      <w:pPr>
        <w:pStyle w:val="ListParagraph"/>
        <w:numPr>
          <w:ilvl w:val="0"/>
          <w:numId w:val="7"/>
        </w:numPr>
        <w:spacing w:after="140" w:line="300"/>
      </w:pPr>
      <w:r>
        <w:rPr>
          <w:rFonts w:ascii="Cambria" w:cs="Cambria" w:eastAsia="Cambria" w:hAnsi="Cambria"/>
          <w:b/>
          <w:bCs/>
          <w:color w:val="333333"/>
          <w:sz w:val="22"/>
          <w:szCs w:val="22"/>
        </w:rPr>
        <w:t xml:space="preserve">Entrepreneurship type. </w:t>
      </w:r>
      <w:r>
        <w:rPr>
          <w:rFonts w:ascii="Cambria" w:cs="Cambria" w:eastAsia="Cambria" w:hAnsi="Cambria"/>
          <w:color w:val="333333"/>
          <w:sz w:val="22"/>
          <w:szCs w:val="22"/>
        </w:rPr>
        <w:t xml:space="preserve">Incorporated self-employment (opportunity entrepreneurship) shows a stronger response than unincorporated, suggesting mobile banking enables higher-quality ventures rather than pure necessity self-employment.</w:t>
      </w:r>
    </w:p>
    <w:p>
      <w:pPr>
        <w:pStyle w:val="Heading1"/>
      </w:pPr>
      <w:r>
        <w:t xml:space="preserve">7. Target Outlets</w:t>
      </w:r>
    </w:p>
    <w:p>
      <w:pPr>
        <w:spacing w:after="200" w:line="300"/>
      </w:pPr>
      <w:r>
        <w:rPr>
          <w:rFonts w:ascii="Cambria" w:cs="Cambria" w:eastAsia="Cambria" w:hAnsi="Cambria"/>
          <w:color w:val="333333"/>
          <w:sz w:val="22"/>
          <w:szCs w:val="22"/>
        </w:rPr>
        <w:t xml:space="preserve">Given the intersection of labor economics, fintech, and financial inclusion:</w:t>
      </w:r>
    </w:p>
    <w:p>
      <w:pPr>
        <w:pStyle w:val="ListParagraph"/>
        <w:numPr>
          <w:ilvl w:val="0"/>
          <w:numId w:val="3"/>
        </w:numPr>
        <w:spacing w:after="120" w:line="300"/>
      </w:pPr>
      <w:r>
        <w:rPr>
          <w:rFonts w:ascii="Cambria" w:cs="Cambria" w:eastAsia="Cambria" w:hAnsi="Cambria"/>
          <w:b/>
          <w:bCs/>
          <w:color w:val="333333"/>
          <w:sz w:val="22"/>
          <w:szCs w:val="22"/>
        </w:rPr>
        <w:t xml:space="preserve">Primary targets: </w:t>
      </w:r>
      <w:r>
        <w:rPr>
          <w:rFonts w:ascii="Cambria" w:cs="Cambria" w:eastAsia="Cambria" w:hAnsi="Cambria"/>
          <w:color w:val="333333"/>
          <w:sz w:val="22"/>
          <w:szCs w:val="22"/>
        </w:rPr>
        <w:t xml:space="preserve">Journal of Financial Economics, Review of Financial Studies, Journal of Urban Economics</w:t>
      </w:r>
    </w:p>
    <w:p>
      <w:pPr>
        <w:pStyle w:val="ListParagraph"/>
        <w:numPr>
          <w:ilvl w:val="0"/>
          <w:numId w:val="3"/>
        </w:numPr>
        <w:spacing w:after="120" w:line="300"/>
      </w:pPr>
      <w:r>
        <w:rPr>
          <w:rFonts w:ascii="Cambria" w:cs="Cambria" w:eastAsia="Cambria" w:hAnsi="Cambria"/>
          <w:b/>
          <w:bCs/>
          <w:color w:val="333333"/>
          <w:sz w:val="22"/>
          <w:szCs w:val="22"/>
        </w:rPr>
        <w:t xml:space="preserve">Strong alternatives: </w:t>
      </w:r>
      <w:r>
        <w:rPr>
          <w:rFonts w:ascii="Cambria" w:cs="Cambria" w:eastAsia="Cambria" w:hAnsi="Cambria"/>
          <w:color w:val="333333"/>
          <w:sz w:val="22"/>
          <w:szCs w:val="22"/>
        </w:rPr>
        <w:t xml:space="preserve">Journal of Money, Credit and Banking; Journal of Banking and Finance; Journal of Financial Intermediation</w:t>
      </w:r>
    </w:p>
    <w:p>
      <w:pPr>
        <w:pStyle w:val="ListParagraph"/>
        <w:numPr>
          <w:ilvl w:val="0"/>
          <w:numId w:val="3"/>
        </w:numPr>
        <w:spacing w:after="120" w:line="300"/>
      </w:pPr>
      <w:r>
        <w:rPr>
          <w:rFonts w:ascii="Cambria" w:cs="Cambria" w:eastAsia="Cambria" w:hAnsi="Cambria"/>
          <w:b/>
          <w:bCs/>
          <w:color w:val="333333"/>
          <w:sz w:val="22"/>
          <w:szCs w:val="22"/>
        </w:rPr>
        <w:t xml:space="preserve">Field journals: </w:t>
      </w:r>
      <w:r>
        <w:rPr>
          <w:rFonts w:ascii="Cambria" w:cs="Cambria" w:eastAsia="Cambria" w:hAnsi="Cambria"/>
          <w:color w:val="333333"/>
          <w:sz w:val="22"/>
          <w:szCs w:val="22"/>
        </w:rPr>
        <w:t xml:space="preserve">Journal of Labor Economics, American Economic Journal: Applied Economics, Journal of Human Resources</w:t>
      </w:r>
    </w:p>
    <w:p>
      <w:pPr>
        <w:pStyle w:val="ListParagraph"/>
        <w:numPr>
          <w:ilvl w:val="0"/>
          <w:numId w:val="3"/>
        </w:numPr>
        <w:spacing w:after="120" w:line="300"/>
      </w:pPr>
      <w:r>
        <w:rPr>
          <w:rFonts w:ascii="Cambria" w:cs="Cambria" w:eastAsia="Cambria" w:hAnsi="Cambria"/>
          <w:b/>
          <w:bCs/>
          <w:color w:val="333333"/>
          <w:sz w:val="22"/>
          <w:szCs w:val="22"/>
        </w:rPr>
        <w:t xml:space="preserve">Policy-oriented: </w:t>
      </w:r>
      <w:r>
        <w:rPr>
          <w:rFonts w:ascii="Cambria" w:cs="Cambria" w:eastAsia="Cambria" w:hAnsi="Cambria"/>
          <w:color w:val="333333"/>
          <w:sz w:val="22"/>
          <w:szCs w:val="22"/>
        </w:rPr>
        <w:t xml:space="preserve">Journal of Policy Analysis and Management, Journal of Public Economics</w:t>
      </w:r>
    </w:p>
    <w:p>
      <w:pPr>
        <w:spacing w:after="200" w:line="300"/>
      </w:pPr>
      <w:r>
        <w:rPr>
          <w:rFonts w:ascii="Cambria" w:cs="Cambria" w:eastAsia="Cambria" w:hAnsi="Cambria"/>
          <w:color w:val="333333"/>
          <w:sz w:val="22"/>
          <w:szCs w:val="22"/>
        </w:rPr>
        <w:t xml:space="preserve">The paper’s policy relevance—given accelerating branch closures and regulatory attention to banking deserts—positions it well for journals that value applied policy implications.</w:t>
      </w:r>
    </w:p>
    <w:p>
      <w:pPr>
        <w:pStyle w:val="Heading1"/>
      </w:pPr>
      <w:r>
        <w:t xml:space="preserve">8.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12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120"/>
            <w:tcBorders>
              <w:top w:val="single" w:color="BBBBBB" w:sz="1"/>
              <w:left w:val="single" w:color="BBBBBB" w:sz="1"/>
              <w:bottom w:val="single" w:color="BBBBBB" w:sz="1"/>
              <w:right w:val="single" w:color="BBBBBB"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Weak first stage in IV (broadband may not strongly predict individual mobile banking adoption)</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Medium</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Present OLS and reduced-form alongside IV. Use multiple instruments and test overidentification. Frame as a spectrum of estimates.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ambria" w:cs="Cambria" w:eastAsia="Cambria" w:hAnsi="Cambria"/>
                <w:color w:val="333333"/>
                <w:sz w:val="20"/>
                <w:szCs w:val="20"/>
              </w:rPr>
              <w:t xml:space="preserve">CBSA-level geography too coarse to capture banking desert variation</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ambria" w:cs="Cambria" w:eastAsia="Cambria" w:hAnsi="Cambria"/>
                <w:color w:val="333333"/>
                <w:sz w:val="20"/>
                <w:szCs w:val="20"/>
              </w:rPr>
              <w:t xml:space="preserve">Medium</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ambria" w:cs="Cambria" w:eastAsia="Cambria" w:hAnsi="Cambria"/>
                <w:color w:val="333333"/>
                <w:sz w:val="20"/>
                <w:szCs w:val="20"/>
              </w:rPr>
              <w:t xml:space="preserve">FDIC public file also identifies 277 counties and 97 principal cities. Use county-level SOD data where possible. Supplement with the five-year pooled weights for finer geographic estimates.</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Self-employment in CPS is cross-sectional (cannot observe transitions)</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Low–Medium</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CPS rotation structure provides limited panel. Repeated cross-sections across 8 waves and 260+ CBSAs provide substantial identifying variation. Frame as differential prevalence rather than transitions.</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ambria" w:cs="Cambria" w:eastAsia="Cambria" w:hAnsi="Cambria"/>
                <w:color w:val="333333"/>
                <w:sz w:val="20"/>
                <w:szCs w:val="20"/>
              </w:rPr>
              <w:t xml:space="preserve">Mobile banking question changed across survey waves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ambria" w:cs="Cambria" w:eastAsia="Cambria" w:hAnsi="Cambria"/>
                <w:color w:val="333333"/>
                <w:sz w:val="20"/>
                <w:szCs w:val="20"/>
              </w:rPr>
              <w:t xml:space="preserve">Low</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Cambria" w:cs="Cambria" w:eastAsia="Cambria" w:hAnsi="Cambria"/>
                <w:color w:val="333333"/>
                <w:sz w:val="20"/>
                <w:szCs w:val="20"/>
              </w:rPr>
              <w:t xml:space="preserve">FDIC multi-year analysis dataset provides harmonized variables. Document comparability using data dictionary; restrict to consistently measured waves if needed.</w:t>
            </w:r>
          </w:p>
        </w:tc>
      </w:tr>
      <w:tr>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Small cell sizes when interacting mobile banking × branch closures × race</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Medium</w:t>
            </w:r>
          </w:p>
        </w:tc>
        <w:tc>
          <w:tcPr>
            <w:tcW w:type="dxa" w:w="312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mbria" w:cs="Cambria" w:eastAsia="Cambria" w:hAnsi="Cambria"/>
                <w:color w:val="333333"/>
                <w:sz w:val="20"/>
                <w:szCs w:val="20"/>
              </w:rPr>
              <w:t xml:space="preserve">Pool five-year weights for finer subgroup analysis. Report which interactions are underpowered. Consider coarser heterogeneity groupings.</w:t>
            </w:r>
          </w:p>
        </w:tc>
      </w:tr>
    </w:tbl>
    <w:p>
      <w:pPr>
        <w:spacing w:after="200"/>
      </w:pPr>
    </w:p>
    <w:p>
      <w:pPr>
        <w:pStyle w:val="Heading1"/>
      </w:pPr>
      <w:r>
        <w:t xml:space="preserve">9. Collaboration Considerations</w:t>
      </w:r>
    </w:p>
    <w:p>
      <w:pPr>
        <w:spacing w:after="200" w:line="300"/>
      </w:pPr>
      <w:r>
        <w:rPr>
          <w:rFonts w:ascii="Cambria" w:cs="Cambria" w:eastAsia="Cambria" w:hAnsi="Cambria"/>
          <w:color w:val="333333"/>
          <w:sz w:val="22"/>
          <w:szCs w:val="22"/>
        </w:rPr>
        <w:t xml:space="preserve">This project can be executed independently using entirely public data, with no restricted-access applications required. However, potential collaboration with Christos Makridis (Stanford) could add value in two ways: (a) access to the proprietary Claritas/S&amp;P Global tract-level mobile banking data used in Dante and Makridis (2021), enabling replication and extension at finer geographic resolution; and (b) leveraging existing expertise with the banking desert classification and empirical framework.</w:t>
      </w:r>
    </w:p>
    <w:p>
      <w:pPr>
        <w:spacing w:after="200" w:line="300"/>
      </w:pPr>
      <w:r>
        <w:rPr>
          <w:rFonts w:ascii="Cambria" w:cs="Cambria" w:eastAsia="Cambria" w:hAnsi="Cambria"/>
          <w:color w:val="333333"/>
          <w:sz w:val="22"/>
          <w:szCs w:val="22"/>
        </w:rPr>
        <w:t xml:space="preserve">Decision point: if the FDIC/CPS reduced-form results from Phase 2–3 show promising patterns, evaluate whether the marginal benefit of Claritas data justifies co-authorship. If the CBSA-level variation in the public data produces credible identification, the project stands alone.</w:t>
      </w:r>
    </w:p>
    <w:p>
      <w:pPr>
        <w:pStyle w:val="Heading1"/>
      </w:pPr>
      <w:r>
        <w:t xml:space="preserve">10. Key References</w:t>
      </w:r>
    </w:p>
    <w:p>
      <w:pPr>
        <w:spacing w:after="200" w:line="300"/>
      </w:pPr>
      <w:r>
        <w:rPr>
          <w:rFonts w:ascii="Cambria" w:cs="Cambria" w:eastAsia="Cambria" w:hAnsi="Cambria"/>
          <w:color w:val="333333"/>
          <w:sz w:val="22"/>
          <w:szCs w:val="22"/>
        </w:rPr>
        <w:t xml:space="preserve">Dante, H. and C. Makridis (2021). The Rise of Mobile Banking and the Displacement of Brick-and-Mortar Branches, 2014–2019. Working Paper.</w:t>
      </w:r>
    </w:p>
    <w:p>
      <w:pPr>
        <w:spacing w:after="200" w:line="300"/>
      </w:pPr>
      <w:r>
        <w:rPr>
          <w:rFonts w:ascii="Cambria" w:cs="Cambria" w:eastAsia="Cambria" w:hAnsi="Cambria"/>
          <w:color w:val="333333"/>
          <w:sz w:val="22"/>
          <w:szCs w:val="22"/>
        </w:rPr>
        <w:t xml:space="preserve">Fuster, A., M. Plosser, P. Schnabl, and J. Vickery (2019). The Role of Technology in Mortgage Lending. Review of Financial Studies 32(5): 1854–1899.</w:t>
      </w:r>
    </w:p>
    <w:p>
      <w:pPr>
        <w:spacing w:after="200" w:line="300"/>
      </w:pPr>
      <w:r>
        <w:rPr>
          <w:rFonts w:ascii="Cambria" w:cs="Cambria" w:eastAsia="Cambria" w:hAnsi="Cambria"/>
          <w:color w:val="333333"/>
          <w:sz w:val="22"/>
          <w:szCs w:val="22"/>
        </w:rPr>
        <w:t xml:space="preserve">Herkenhoff, K., G. Phillips, and E. Cohen-Cole (2021). The Impact of Consumer Credit Access on Self-Employment and Entrepreneurship. Journal of Financial Economics 141(1): 345–371.</w:t>
      </w:r>
    </w:p>
    <w:p>
      <w:pPr>
        <w:spacing w:after="200" w:line="300"/>
      </w:pPr>
      <w:r>
        <w:rPr>
          <w:rFonts w:ascii="Cambria" w:cs="Cambria" w:eastAsia="Cambria" w:hAnsi="Cambria"/>
          <w:color w:val="333333"/>
          <w:sz w:val="22"/>
          <w:szCs w:val="22"/>
        </w:rPr>
        <w:t xml:space="preserve">Nguyen, H.-L. Q. (2019). Are Credit Markets Still Local? Evidence from Bank Branch Closings. American Economic Journal: Applied Economics 11(1): 1–32.</w:t>
      </w:r>
    </w:p>
    <w:p>
      <w:pPr>
        <w:spacing w:after="200" w:line="300"/>
      </w:pPr>
      <w:r>
        <w:rPr>
          <w:rFonts w:ascii="Cambria" w:cs="Cambria" w:eastAsia="Cambria" w:hAnsi="Cambria"/>
          <w:color w:val="333333"/>
          <w:sz w:val="22"/>
          <w:szCs w:val="22"/>
        </w:rPr>
        <w:t xml:space="preserve">Babina, T., S. Bahaj, G. Buchak, et al. (2024). Customer Data Access and Fintech Entry: Early Evidence from Open Banking. NBER Working Paper 32089.</w:t>
      </w:r>
    </w:p>
    <w:p>
      <w:pPr>
        <w:spacing w:after="200" w:line="300"/>
      </w:pPr>
      <w:r>
        <w:rPr>
          <w:rFonts w:ascii="Cambria" w:cs="Cambria" w:eastAsia="Cambria" w:hAnsi="Cambria"/>
          <w:color w:val="333333"/>
          <w:sz w:val="22"/>
          <w:szCs w:val="22"/>
        </w:rPr>
        <w:t xml:space="preserve">FDIC (2024). 2023 FDIC National Survey of Unbanked and Underbanked Households. Federal Deposit Insurance Corporation.</w:t>
      </w:r>
    </w:p>
    <w:p>
      <w:pPr>
        <w:spacing w:after="200" w:line="300"/>
      </w:pPr>
      <w:r>
        <w:rPr>
          <w:rFonts w:ascii="Cambria" w:cs="Cambria" w:eastAsia="Cambria" w:hAnsi="Cambria"/>
          <w:color w:val="333333"/>
          <w:sz w:val="22"/>
          <w:szCs w:val="22"/>
        </w:rPr>
        <w:t xml:space="preserve">Federal Reserve Bank of Philadelphia (2025). Who Remains Unbanked in the United States and Why? Working Paper 25-02.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Research Plan: Mobile Banking and Self-Employment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3E8EBF" w:sz="2" w:space="4"/>
      </w:pBd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6B9E"/>
      <w:sz w:val="26"/>
      <w:szCs w:val="26"/>
    </w:rPr>
  </w:style>
  <w:style w:type="paragraph" w:styleId="Heading3">
    <w:name w:val="Heading 3"/>
    <w:basedOn w:val="Normal"/>
    <w:next w:val="Normal"/>
    <w:qFormat/>
    <w:pPr>
      <w:spacing w:before="200" w:after="120"/>
      <w:outlineLvl w:val="2"/>
    </w:pPr>
    <w:rPr>
      <w:rFonts w:ascii="Arial" w:cs="Arial" w:eastAsia="Arial" w:hAnsi="Arial"/>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2026-02-11T09:57:08.530Z</dcterms:created>
  <dcterms:modified xsi:type="dcterms:W3CDTF">2026-02-11T09:57:08.531Z</dcterms:modified>
</cp:coreProperties>
</file>

<file path=docProps/custom.xml><?xml version="1.0" encoding="utf-8"?>
<Properties xmlns="http://schemas.openxmlformats.org/officeDocument/2006/custom-properties" xmlns:vt="http://schemas.openxmlformats.org/officeDocument/2006/docPropsVTypes"/>
</file>