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B00FEB" w14:textId="124915E5" w:rsidR="0083308D" w:rsidRDefault="0083308D">
      <w:r>
        <w:rPr>
          <w:rFonts w:hint="eastAsia"/>
        </w:rPr>
        <w:t>Hashicorp</w:t>
      </w:r>
      <w:r>
        <w:t xml:space="preserve"> </w:t>
      </w:r>
      <w:r>
        <w:rPr>
          <w:rFonts w:hint="eastAsia"/>
        </w:rPr>
        <w:t>B</w:t>
      </w:r>
      <w:r>
        <w:t xml:space="preserve">oundary </w:t>
      </w:r>
      <w:r>
        <w:rPr>
          <w:rFonts w:hint="eastAsia"/>
        </w:rPr>
        <w:t>调研报告</w:t>
      </w:r>
    </w:p>
    <w:p w14:paraId="18D9A97E" w14:textId="02C2C974" w:rsidR="0083308D" w:rsidRDefault="001F38EE" w:rsidP="001F38EE">
      <w:pPr>
        <w:pStyle w:val="ListParagraph"/>
        <w:numPr>
          <w:ilvl w:val="0"/>
          <w:numId w:val="1"/>
        </w:numPr>
      </w:pPr>
      <w:r>
        <w:rPr>
          <w:rFonts w:hint="eastAsia"/>
        </w:rPr>
        <w:t>法律和版权</w:t>
      </w:r>
    </w:p>
    <w:p w14:paraId="05B720C4" w14:textId="78AB932F" w:rsidR="001F38EE" w:rsidRDefault="001F38EE" w:rsidP="001F38EE">
      <w:pPr>
        <w:pStyle w:val="ListParagraph"/>
      </w:pPr>
      <w:r w:rsidRPr="001F38EE">
        <w:t>Mozilla Public License 2.0</w:t>
      </w:r>
    </w:p>
    <w:p w14:paraId="693A6D41" w14:textId="2317F43A" w:rsidR="00CB2603" w:rsidRDefault="007651B0" w:rsidP="001F38EE">
      <w:pPr>
        <w:pStyle w:val="ListParagraph"/>
      </w:pPr>
      <w:hyperlink r:id="rId5" w:history="1">
        <w:r w:rsidR="00CB2603" w:rsidRPr="00E142BA">
          <w:rPr>
            <w:rStyle w:val="Hyperlink"/>
          </w:rPr>
          <w:t>https://www.mozilla.org/en-US/MPL/2.0/</w:t>
        </w:r>
      </w:hyperlink>
    </w:p>
    <w:p w14:paraId="4F5E49CA" w14:textId="77777777" w:rsidR="00CB2603" w:rsidRDefault="00CB2603" w:rsidP="00CB2603">
      <w:pPr>
        <w:pStyle w:val="ListParagraph"/>
      </w:pPr>
      <w:r>
        <w:rPr>
          <w:rFonts w:hint="eastAsia"/>
        </w:rPr>
        <w:t>MPL</w:t>
      </w:r>
      <w:r>
        <w:rPr>
          <w:rFonts w:hint="eastAsia"/>
        </w:rPr>
        <w:t>既是得到自由软件基金会承认的自由软件许可证</w:t>
      </w:r>
      <w:r>
        <w:rPr>
          <w:rFonts w:hint="eastAsia"/>
        </w:rPr>
        <w:t>[3]</w:t>
      </w:r>
      <w:r>
        <w:rPr>
          <w:rFonts w:hint="eastAsia"/>
        </w:rPr>
        <w:t>，也是得到开放源代码促进会承认的开源软件许可证</w:t>
      </w:r>
      <w:r>
        <w:rPr>
          <w:rFonts w:hint="eastAsia"/>
        </w:rPr>
        <w:t>[4]</w:t>
      </w:r>
      <w:r>
        <w:rPr>
          <w:rFonts w:hint="eastAsia"/>
        </w:rPr>
        <w:t>。</w:t>
      </w:r>
      <w:r>
        <w:rPr>
          <w:rFonts w:hint="eastAsia"/>
        </w:rPr>
        <w:t>MPL</w:t>
      </w:r>
      <w:r>
        <w:rPr>
          <w:rFonts w:hint="eastAsia"/>
        </w:rPr>
        <w:t>允许在其授权下的源代码与其他授权的文件进行混合，包括私有许可证。但在</w:t>
      </w:r>
      <w:r>
        <w:rPr>
          <w:rFonts w:hint="eastAsia"/>
        </w:rPr>
        <w:t>MPL</w:t>
      </w:r>
      <w:r>
        <w:rPr>
          <w:rFonts w:hint="eastAsia"/>
        </w:rPr>
        <w:t>授权下的代码文件必须保持</w:t>
      </w:r>
      <w:r>
        <w:rPr>
          <w:rFonts w:hint="eastAsia"/>
        </w:rPr>
        <w:t>MPL</w:t>
      </w:r>
      <w:r>
        <w:rPr>
          <w:rFonts w:hint="eastAsia"/>
        </w:rPr>
        <w:t>授权，并且保持开源。</w:t>
      </w:r>
      <w:r>
        <w:rPr>
          <w:rFonts w:hint="eastAsia"/>
        </w:rPr>
        <w:t>[5]</w:t>
      </w:r>
      <w:r>
        <w:rPr>
          <w:rFonts w:hint="eastAsia"/>
        </w:rPr>
        <w:t>这样的条款让</w:t>
      </w:r>
      <w:r>
        <w:rPr>
          <w:rFonts w:hint="eastAsia"/>
        </w:rPr>
        <w:t>MPL</w:t>
      </w:r>
      <w:r>
        <w:rPr>
          <w:rFonts w:hint="eastAsia"/>
        </w:rPr>
        <w:t>既不像</w:t>
      </w:r>
      <w:r>
        <w:rPr>
          <w:rFonts w:hint="eastAsia"/>
        </w:rPr>
        <w:t>MIT</w:t>
      </w:r>
      <w:r>
        <w:rPr>
          <w:rFonts w:hint="eastAsia"/>
        </w:rPr>
        <w:t>和</w:t>
      </w:r>
      <w:r>
        <w:rPr>
          <w:rFonts w:hint="eastAsia"/>
        </w:rPr>
        <w:t>BSD</w:t>
      </w:r>
      <w:r>
        <w:rPr>
          <w:rFonts w:hint="eastAsia"/>
        </w:rPr>
        <w:t>那样允许派生作品完全转化为私有，也不像</w:t>
      </w:r>
      <w:r>
        <w:rPr>
          <w:rFonts w:hint="eastAsia"/>
        </w:rPr>
        <w:t>GPL</w:t>
      </w:r>
      <w:r>
        <w:rPr>
          <w:rFonts w:hint="eastAsia"/>
        </w:rPr>
        <w:t>那样要求所有的派生作品，包括新的组件在内，全部必须保持</w:t>
      </w:r>
      <w:r>
        <w:rPr>
          <w:rFonts w:hint="eastAsia"/>
        </w:rPr>
        <w:t>GPL</w:t>
      </w:r>
      <w:r>
        <w:rPr>
          <w:rFonts w:hint="eastAsia"/>
        </w:rPr>
        <w:t>。通过允许在派生项目中存在私有模块，同时保证核心文件的开源，</w:t>
      </w:r>
      <w:r>
        <w:rPr>
          <w:rFonts w:hint="eastAsia"/>
        </w:rPr>
        <w:t>MPL</w:t>
      </w:r>
      <w:r>
        <w:rPr>
          <w:rFonts w:hint="eastAsia"/>
        </w:rPr>
        <w:t>同时激励了商业及开源社区来参与帮助开发核心软件。</w:t>
      </w:r>
      <w:r>
        <w:rPr>
          <w:rFonts w:hint="eastAsia"/>
        </w:rPr>
        <w:t>[14]</w:t>
      </w:r>
    </w:p>
    <w:p w14:paraId="6F419D2D" w14:textId="77777777" w:rsidR="00CB2603" w:rsidRDefault="00CB2603" w:rsidP="00CB2603">
      <w:pPr>
        <w:pStyle w:val="ListParagraph"/>
      </w:pPr>
    </w:p>
    <w:p w14:paraId="4337BC89" w14:textId="77777777" w:rsidR="00CB2603" w:rsidRDefault="00CB2603" w:rsidP="00CB2603">
      <w:pPr>
        <w:pStyle w:val="ListParagraph"/>
      </w:pPr>
      <w:r>
        <w:rPr>
          <w:rFonts w:hint="eastAsia"/>
        </w:rPr>
        <w:t>使用</w:t>
      </w:r>
      <w:r>
        <w:rPr>
          <w:rFonts w:hint="eastAsia"/>
        </w:rPr>
        <w:t>MPL</w:t>
      </w:r>
      <w:r>
        <w:rPr>
          <w:rFonts w:hint="eastAsia"/>
        </w:rPr>
        <w:t>许可的软件并不受专利的限制，其可以自由使用，出售，并可自由的重新发布。带有专利代码的版本仍然可以使用，转让，甚至出售，但未经许可则不能修改代码。此外，</w:t>
      </w:r>
      <w:r>
        <w:rPr>
          <w:rFonts w:hint="eastAsia"/>
        </w:rPr>
        <w:t>MPL</w:t>
      </w:r>
      <w:r>
        <w:rPr>
          <w:rFonts w:hint="eastAsia"/>
        </w:rPr>
        <w:t>并不授予用户对于开发者商标的使用权</w:t>
      </w:r>
      <w:r>
        <w:rPr>
          <w:rFonts w:hint="eastAsia"/>
        </w:rPr>
        <w:t>[5]</w:t>
      </w:r>
      <w:r>
        <w:rPr>
          <w:rFonts w:hint="eastAsia"/>
        </w:rPr>
        <w:t>。</w:t>
      </w:r>
    </w:p>
    <w:p w14:paraId="4C48B0E8" w14:textId="77777777" w:rsidR="00CB2603" w:rsidRDefault="00CB2603" w:rsidP="00CB2603">
      <w:pPr>
        <w:pStyle w:val="ListParagraph"/>
      </w:pPr>
    </w:p>
    <w:p w14:paraId="1FE39879" w14:textId="081FA840" w:rsidR="00A769BD" w:rsidRDefault="00CB2603" w:rsidP="00A769BD">
      <w:pPr>
        <w:pStyle w:val="ListParagraph"/>
      </w:pPr>
      <w:r>
        <w:rPr>
          <w:rFonts w:hint="eastAsia"/>
        </w:rPr>
        <w:t>为了满足</w:t>
      </w:r>
      <w:r>
        <w:rPr>
          <w:rFonts w:hint="eastAsia"/>
        </w:rPr>
        <w:t>MPL</w:t>
      </w:r>
      <w:r>
        <w:rPr>
          <w:rFonts w:hint="eastAsia"/>
        </w:rPr>
        <w:t>的条款限制，用户必须负担一些“责任”，主要是关于散发使用</w:t>
      </w:r>
      <w:r>
        <w:rPr>
          <w:rFonts w:hint="eastAsia"/>
        </w:rPr>
        <w:t>MPL</w:t>
      </w:r>
      <w:r>
        <w:rPr>
          <w:rFonts w:hint="eastAsia"/>
        </w:rPr>
        <w:t>许可的软件。用户必须确保重新散发的软件所有源代码均以</w:t>
      </w:r>
      <w:r>
        <w:rPr>
          <w:rFonts w:hint="eastAsia"/>
        </w:rPr>
        <w:t>MPL</w:t>
      </w:r>
      <w:r>
        <w:rPr>
          <w:rFonts w:hint="eastAsia"/>
        </w:rPr>
        <w:t>许可，即使是以可执行文件的方式提供或是与其他使用专有软件许可的源代码结合也一样。但若跟以</w:t>
      </w:r>
      <w:r>
        <w:rPr>
          <w:rFonts w:hint="eastAsia"/>
        </w:rPr>
        <w:t>GNU</w:t>
      </w:r>
      <w:r>
        <w:rPr>
          <w:rFonts w:hint="eastAsia"/>
        </w:rPr>
        <w:t>通用公共许可协议、</w:t>
      </w:r>
      <w:r>
        <w:rPr>
          <w:rFonts w:hint="eastAsia"/>
        </w:rPr>
        <w:t>GNU</w:t>
      </w:r>
      <w:r>
        <w:rPr>
          <w:rFonts w:hint="eastAsia"/>
        </w:rPr>
        <w:t>宽通用公共许可证、</w:t>
      </w:r>
      <w:r>
        <w:rPr>
          <w:rFonts w:hint="eastAsia"/>
        </w:rPr>
        <w:t>Affero</w:t>
      </w:r>
      <w:r>
        <w:rPr>
          <w:rFonts w:hint="eastAsia"/>
        </w:rPr>
        <w:t>通用公共许可证许可的源代码结合则是例外。此时开发者则可选用以上三种更加严格的条款来许可</w:t>
      </w:r>
      <w:r>
        <w:rPr>
          <w:rFonts w:hint="eastAsia"/>
        </w:rPr>
        <w:t>[5]</w:t>
      </w:r>
      <w:r>
        <w:rPr>
          <w:rFonts w:hint="eastAsia"/>
        </w:rPr>
        <w:t>。</w:t>
      </w:r>
    </w:p>
    <w:p w14:paraId="49D3990D" w14:textId="48AE0A23" w:rsidR="00A769BD" w:rsidRDefault="00A769BD" w:rsidP="00A769BD">
      <w:pPr>
        <w:pStyle w:val="ListParagraph"/>
        <w:numPr>
          <w:ilvl w:val="0"/>
          <w:numId w:val="1"/>
        </w:numPr>
      </w:pPr>
      <w:r>
        <w:rPr>
          <w:rFonts w:hint="eastAsia"/>
        </w:rPr>
        <w:t>产品简介</w:t>
      </w:r>
    </w:p>
    <w:p w14:paraId="57C7CBF0" w14:textId="2F971664" w:rsidR="00A769BD" w:rsidRDefault="00A769BD" w:rsidP="00A769BD">
      <w:pPr>
        <w:pStyle w:val="ListParagraph"/>
        <w:numPr>
          <w:ilvl w:val="1"/>
          <w:numId w:val="1"/>
        </w:numPr>
      </w:pPr>
      <w:r>
        <w:rPr>
          <w:rFonts w:hint="eastAsia"/>
        </w:rPr>
        <w:t>概念</w:t>
      </w:r>
    </w:p>
    <w:p w14:paraId="5242D777" w14:textId="638020A6" w:rsidR="00A769BD" w:rsidRDefault="00A769BD" w:rsidP="00A769BD">
      <w:pPr>
        <w:pStyle w:val="ListParagraph"/>
        <w:numPr>
          <w:ilvl w:val="1"/>
          <w:numId w:val="1"/>
        </w:numPr>
      </w:pPr>
      <w:r>
        <w:rPr>
          <w:rFonts w:hint="eastAsia"/>
        </w:rPr>
        <w:t>产品特性</w:t>
      </w:r>
    </w:p>
    <w:p w14:paraId="4571599F" w14:textId="04C7A9D8" w:rsidR="00F707DF" w:rsidRDefault="007651B0" w:rsidP="00F707DF">
      <w:pPr>
        <w:pStyle w:val="ListParagraph"/>
        <w:ind w:left="1440"/>
        <w:rPr>
          <w:rStyle w:val="Hyperlink"/>
        </w:rPr>
      </w:pPr>
      <w:hyperlink r:id="rId6" w:history="1">
        <w:r w:rsidR="00F707DF" w:rsidRPr="00E142BA">
          <w:rPr>
            <w:rStyle w:val="Hyperlink"/>
          </w:rPr>
          <w:t>https://www.hashicorp.com/resources/secure-access-management-with-hashicorp-boundary</w:t>
        </w:r>
      </w:hyperlink>
    </w:p>
    <w:p w14:paraId="627FB3A7" w14:textId="5EA2CCF6" w:rsidR="007651B0" w:rsidRDefault="007651B0" w:rsidP="007651B0">
      <w:pPr>
        <w:pStyle w:val="ListParagraph"/>
        <w:ind w:left="1440"/>
      </w:pPr>
      <w:hyperlink r:id="rId7" w:history="1">
        <w:r w:rsidRPr="00E529D4">
          <w:rPr>
            <w:rStyle w:val="Hyperlink"/>
          </w:rPr>
          <w:t>https://medium.com/hashicorp-engineering/hashicorp-boundary-make-sure-your-human-to-machine-access-is-secure-68718674c22c</w:t>
        </w:r>
      </w:hyperlink>
    </w:p>
    <w:p w14:paraId="14D9D7EB" w14:textId="1DF0E0AA" w:rsidR="00F707DF" w:rsidRDefault="007651B0" w:rsidP="00F707DF">
      <w:pPr>
        <w:pStyle w:val="ListParagraph"/>
        <w:ind w:left="1440"/>
      </w:pPr>
      <w:hyperlink r:id="rId8" w:history="1">
        <w:r w:rsidRPr="00E529D4">
          <w:rPr>
            <w:rStyle w:val="Hyperlink"/>
          </w:rPr>
          <w:t>https://www.boundaryproject.io/docs/installing/high-availability</w:t>
        </w:r>
      </w:hyperlink>
    </w:p>
    <w:p w14:paraId="532ACB6D" w14:textId="76496403" w:rsidR="001F3C77" w:rsidRDefault="007651B0" w:rsidP="00F707DF">
      <w:pPr>
        <w:pStyle w:val="ListParagraph"/>
        <w:ind w:left="1440"/>
      </w:pPr>
      <w:hyperlink r:id="rId9" w:history="1">
        <w:r w:rsidR="001F3C77" w:rsidRPr="00E142BA">
          <w:rPr>
            <w:rStyle w:val="Hyperlink"/>
          </w:rPr>
          <w:t>https://www.boundaryproject.io/docs/concepts/domain-model</w:t>
        </w:r>
      </w:hyperlink>
    </w:p>
    <w:p w14:paraId="585A1895" w14:textId="77777777" w:rsidR="001F3C77" w:rsidRDefault="001F3C77" w:rsidP="00F707DF">
      <w:pPr>
        <w:pStyle w:val="ListParagraph"/>
        <w:ind w:left="1440"/>
      </w:pPr>
    </w:p>
    <w:p w14:paraId="3DC6AB30" w14:textId="77777777" w:rsidR="00554491" w:rsidRDefault="00554491" w:rsidP="00F707DF">
      <w:pPr>
        <w:pStyle w:val="ListParagraph"/>
        <w:ind w:left="1440"/>
      </w:pPr>
    </w:p>
    <w:p w14:paraId="5BDC5D4E" w14:textId="5AA3889A" w:rsidR="00A769BD" w:rsidRDefault="00A769BD" w:rsidP="00A769BD">
      <w:pPr>
        <w:pStyle w:val="ListParagraph"/>
        <w:numPr>
          <w:ilvl w:val="1"/>
          <w:numId w:val="1"/>
        </w:numPr>
      </w:pPr>
      <w:r>
        <w:rPr>
          <w:rFonts w:hint="eastAsia"/>
        </w:rPr>
        <w:t>部署环境需求</w:t>
      </w:r>
    </w:p>
    <w:p w14:paraId="4EBC51BD" w14:textId="7D072476" w:rsidR="00554491" w:rsidRDefault="007651B0" w:rsidP="00554491">
      <w:pPr>
        <w:pStyle w:val="ListParagraph"/>
        <w:ind w:left="1440"/>
      </w:pPr>
      <w:hyperlink r:id="rId10" w:history="1">
        <w:r w:rsidR="00F91C53" w:rsidRPr="00E142BA">
          <w:rPr>
            <w:rStyle w:val="Hyperlink"/>
          </w:rPr>
          <w:t>https://learn.hashicorp.com/tutorials/boundary/getting-started-install</w:t>
        </w:r>
      </w:hyperlink>
    </w:p>
    <w:p w14:paraId="30AA4585" w14:textId="77777777" w:rsidR="00F91C53" w:rsidRDefault="00F91C53" w:rsidP="00554491">
      <w:pPr>
        <w:pStyle w:val="ListParagraph"/>
        <w:ind w:left="1440"/>
      </w:pPr>
    </w:p>
    <w:p w14:paraId="63AE5D8C" w14:textId="1177EE71" w:rsidR="00A769BD" w:rsidRDefault="00A769BD" w:rsidP="00A769BD">
      <w:pPr>
        <w:pStyle w:val="ListParagraph"/>
        <w:numPr>
          <w:ilvl w:val="1"/>
          <w:numId w:val="1"/>
        </w:numPr>
      </w:pPr>
      <w:r>
        <w:rPr>
          <w:rFonts w:hint="eastAsia"/>
        </w:rPr>
        <w:t>开源社区成熟度</w:t>
      </w:r>
    </w:p>
    <w:p w14:paraId="6F48B9B9" w14:textId="77777777" w:rsidR="00A769BD" w:rsidRDefault="00A769BD" w:rsidP="00A769BD">
      <w:pPr>
        <w:pStyle w:val="ListParagraph"/>
        <w:numPr>
          <w:ilvl w:val="1"/>
          <w:numId w:val="1"/>
        </w:numPr>
      </w:pPr>
    </w:p>
    <w:p w14:paraId="01CACDA6" w14:textId="49E96528" w:rsidR="00A769BD" w:rsidRDefault="00A769BD" w:rsidP="00A769BD">
      <w:pPr>
        <w:pStyle w:val="ListParagraph"/>
        <w:numPr>
          <w:ilvl w:val="0"/>
          <w:numId w:val="1"/>
        </w:numPr>
      </w:pPr>
      <w:r>
        <w:rPr>
          <w:rFonts w:hint="eastAsia"/>
        </w:rPr>
        <w:t>与已有项目融合开发</w:t>
      </w:r>
    </w:p>
    <w:p w14:paraId="19DA95D0" w14:textId="76F8F6A4" w:rsidR="00A769BD" w:rsidRDefault="00A769BD" w:rsidP="00A769BD">
      <w:pPr>
        <w:pStyle w:val="ListParagraph"/>
        <w:numPr>
          <w:ilvl w:val="1"/>
          <w:numId w:val="1"/>
        </w:numPr>
      </w:pPr>
      <w:r>
        <w:t>Go language</w:t>
      </w:r>
    </w:p>
    <w:p w14:paraId="7B78FDBA" w14:textId="481AFAC6" w:rsidR="00A769BD" w:rsidRDefault="00A769BD" w:rsidP="00A769BD">
      <w:pPr>
        <w:pStyle w:val="ListParagraph"/>
        <w:numPr>
          <w:ilvl w:val="1"/>
          <w:numId w:val="1"/>
        </w:numPr>
      </w:pPr>
      <w:r>
        <w:t>Commercial support</w:t>
      </w:r>
    </w:p>
    <w:p w14:paraId="323ED5D1" w14:textId="1C1B5B12" w:rsidR="0083308D" w:rsidRDefault="00A769BD" w:rsidP="00A769BD">
      <w:pPr>
        <w:pStyle w:val="ListParagraph"/>
        <w:numPr>
          <w:ilvl w:val="1"/>
          <w:numId w:val="1"/>
        </w:numPr>
      </w:pPr>
      <w:r>
        <w:t xml:space="preserve">Go </w:t>
      </w:r>
      <w:r w:rsidR="00E95E30">
        <w:t>language</w:t>
      </w:r>
    </w:p>
    <w:p w14:paraId="13CCF5A2" w14:textId="5F00739A" w:rsidR="00E95E30" w:rsidRDefault="00E95E30" w:rsidP="00E95E30"/>
    <w:p w14:paraId="2F5FC652" w14:textId="009548DF" w:rsidR="00E95E30" w:rsidRDefault="00E95E30" w:rsidP="00E95E30">
      <w:r w:rsidRPr="00E95E30">
        <w:rPr>
          <w:noProof/>
        </w:rPr>
        <w:drawing>
          <wp:inline distT="0" distB="0" distL="0" distR="0" wp14:anchorId="72DC6BBA" wp14:editId="7D354B43">
            <wp:extent cx="5943600" cy="2345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45690"/>
                    </a:xfrm>
                    <a:prstGeom prst="rect">
                      <a:avLst/>
                    </a:prstGeom>
                  </pic:spPr>
                </pic:pic>
              </a:graphicData>
            </a:graphic>
          </wp:inline>
        </w:drawing>
      </w:r>
    </w:p>
    <w:p w14:paraId="7A194C7A" w14:textId="5D5EB957" w:rsidR="00E95E30" w:rsidRDefault="00E95E30" w:rsidP="00E95E30">
      <w:pPr>
        <w:rPr>
          <w:noProof/>
        </w:rPr>
      </w:pPr>
      <w:r w:rsidRPr="00E95E30">
        <w:rPr>
          <w:noProof/>
        </w:rPr>
        <w:drawing>
          <wp:inline distT="0" distB="0" distL="0" distR="0" wp14:anchorId="1A4F2B4E" wp14:editId="68377D88">
            <wp:extent cx="5943600" cy="2019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19935"/>
                    </a:xfrm>
                    <a:prstGeom prst="rect">
                      <a:avLst/>
                    </a:prstGeom>
                  </pic:spPr>
                </pic:pic>
              </a:graphicData>
            </a:graphic>
          </wp:inline>
        </w:drawing>
      </w:r>
      <w:r w:rsidR="00397E93" w:rsidRPr="00397E93">
        <w:rPr>
          <w:noProof/>
        </w:rPr>
        <w:t xml:space="preserve"> </w:t>
      </w:r>
      <w:r w:rsidR="00397E93" w:rsidRPr="00397E93">
        <w:rPr>
          <w:noProof/>
        </w:rPr>
        <w:drawing>
          <wp:inline distT="0" distB="0" distL="0" distR="0" wp14:anchorId="66568A02" wp14:editId="1824F885">
            <wp:extent cx="5943600" cy="31934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3415"/>
                    </a:xfrm>
                    <a:prstGeom prst="rect">
                      <a:avLst/>
                    </a:prstGeom>
                  </pic:spPr>
                </pic:pic>
              </a:graphicData>
            </a:graphic>
          </wp:inline>
        </w:drawing>
      </w:r>
    </w:p>
    <w:p w14:paraId="15F93332" w14:textId="2231F7A7" w:rsidR="00397E93" w:rsidRDefault="00397E93" w:rsidP="00E95E30">
      <w:r w:rsidRPr="00397E93">
        <w:rPr>
          <w:noProof/>
        </w:rPr>
        <w:lastRenderedPageBreak/>
        <w:drawing>
          <wp:inline distT="0" distB="0" distL="0" distR="0" wp14:anchorId="18796A44" wp14:editId="04EE7E29">
            <wp:extent cx="5654530" cy="2850127"/>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4530" cy="2850127"/>
                    </a:xfrm>
                    <a:prstGeom prst="rect">
                      <a:avLst/>
                    </a:prstGeom>
                  </pic:spPr>
                </pic:pic>
              </a:graphicData>
            </a:graphic>
          </wp:inline>
        </w:drawing>
      </w:r>
    </w:p>
    <w:p w14:paraId="71F69429" w14:textId="47D29769" w:rsidR="00F707DF" w:rsidRDefault="00F707DF" w:rsidP="00E95E30">
      <w:r w:rsidRPr="00F707DF">
        <w:rPr>
          <w:noProof/>
        </w:rPr>
        <w:drawing>
          <wp:inline distT="0" distB="0" distL="0" distR="0" wp14:anchorId="27FD28F1" wp14:editId="36187653">
            <wp:extent cx="4694327" cy="27815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4327" cy="2781541"/>
                    </a:xfrm>
                    <a:prstGeom prst="rect">
                      <a:avLst/>
                    </a:prstGeom>
                  </pic:spPr>
                </pic:pic>
              </a:graphicData>
            </a:graphic>
          </wp:inline>
        </w:drawing>
      </w:r>
    </w:p>
    <w:p w14:paraId="02FA8CCC" w14:textId="77777777" w:rsidR="001F3C77" w:rsidRDefault="001F3C77" w:rsidP="00E95E30"/>
    <w:p w14:paraId="35D58128" w14:textId="77777777" w:rsidR="00491800" w:rsidRDefault="001F3C77" w:rsidP="00491800">
      <w:pPr>
        <w:keepNext/>
      </w:pPr>
      <w:r w:rsidRPr="001F3C77">
        <w:rPr>
          <w:noProof/>
        </w:rPr>
        <w:lastRenderedPageBreak/>
        <w:drawing>
          <wp:inline distT="0" distB="0" distL="0" distR="0" wp14:anchorId="567040D7" wp14:editId="5E441653">
            <wp:extent cx="5943600" cy="2418715"/>
            <wp:effectExtent l="0" t="0" r="0" b="635"/>
            <wp:docPr id="6" name="Picture 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low confidence"/>
                    <pic:cNvPicPr/>
                  </pic:nvPicPr>
                  <pic:blipFill>
                    <a:blip r:embed="rId16"/>
                    <a:stretch>
                      <a:fillRect/>
                    </a:stretch>
                  </pic:blipFill>
                  <pic:spPr>
                    <a:xfrm>
                      <a:off x="0" y="0"/>
                      <a:ext cx="5943600" cy="2418715"/>
                    </a:xfrm>
                    <a:prstGeom prst="rect">
                      <a:avLst/>
                    </a:prstGeom>
                  </pic:spPr>
                </pic:pic>
              </a:graphicData>
            </a:graphic>
          </wp:inline>
        </w:drawing>
      </w:r>
    </w:p>
    <w:p w14:paraId="17276984" w14:textId="068A6DF0" w:rsidR="001F3C77" w:rsidRDefault="00491800" w:rsidP="00491800">
      <w:pPr>
        <w:pStyle w:val="Caption"/>
      </w:pPr>
      <w:r>
        <w:t xml:space="preserve">Figure </w:t>
      </w:r>
      <w:fldSimple w:instr=" SEQ Figure \* ARABIC ">
        <w:r>
          <w:rPr>
            <w:noProof/>
          </w:rPr>
          <w:t>1</w:t>
        </w:r>
      </w:fldSimple>
      <w:r>
        <w:t xml:space="preserve"> </w:t>
      </w:r>
      <w:r w:rsidRPr="003C3903">
        <w:t>Boundary components</w:t>
      </w:r>
    </w:p>
    <w:p w14:paraId="07A84F5B" w14:textId="1170DEF1" w:rsidR="00491800" w:rsidRDefault="007651B0" w:rsidP="00491800">
      <w:hyperlink r:id="rId17" w:history="1">
        <w:r w:rsidR="00491800" w:rsidRPr="00ED1ED1">
          <w:rPr>
            <w:rStyle w:val="Hyperlink"/>
          </w:rPr>
          <w:t>https://learn.hashicorp.com/tutorials/boundary/getting-started-dev?in=boundary/getting-started</w:t>
        </w:r>
      </w:hyperlink>
    </w:p>
    <w:p w14:paraId="5830300D" w14:textId="32256B0A" w:rsidR="00491800" w:rsidRDefault="00491800" w:rsidP="00491800"/>
    <w:p w14:paraId="60882DE8" w14:textId="77777777" w:rsidR="00491800" w:rsidRPr="00491800" w:rsidRDefault="00491800" w:rsidP="00491800"/>
    <w:sectPr w:rsidR="00491800" w:rsidRPr="0049180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833475"/>
    <w:multiLevelType w:val="hybridMultilevel"/>
    <w:tmpl w:val="AC769A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08D"/>
    <w:rsid w:val="001F38EE"/>
    <w:rsid w:val="001F3C77"/>
    <w:rsid w:val="00397E93"/>
    <w:rsid w:val="00491800"/>
    <w:rsid w:val="00554491"/>
    <w:rsid w:val="007651B0"/>
    <w:rsid w:val="0083308D"/>
    <w:rsid w:val="00A769BD"/>
    <w:rsid w:val="00CB2603"/>
    <w:rsid w:val="00E95E30"/>
    <w:rsid w:val="00F707DF"/>
    <w:rsid w:val="00F91C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74A47"/>
  <w15:chartTrackingRefBased/>
  <w15:docId w15:val="{630CC89B-C9B0-4787-A30D-480421146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8EE"/>
    <w:pPr>
      <w:ind w:left="720"/>
      <w:contextualSpacing/>
    </w:pPr>
  </w:style>
  <w:style w:type="character" w:styleId="Hyperlink">
    <w:name w:val="Hyperlink"/>
    <w:basedOn w:val="DefaultParagraphFont"/>
    <w:uiPriority w:val="99"/>
    <w:unhideWhenUsed/>
    <w:rsid w:val="00CB2603"/>
    <w:rPr>
      <w:color w:val="0563C1" w:themeColor="hyperlink"/>
      <w:u w:val="single"/>
    </w:rPr>
  </w:style>
  <w:style w:type="character" w:styleId="UnresolvedMention">
    <w:name w:val="Unresolved Mention"/>
    <w:basedOn w:val="DefaultParagraphFont"/>
    <w:uiPriority w:val="99"/>
    <w:semiHidden/>
    <w:unhideWhenUsed/>
    <w:rsid w:val="00CB2603"/>
    <w:rPr>
      <w:color w:val="605E5C"/>
      <w:shd w:val="clear" w:color="auto" w:fill="E1DFDD"/>
    </w:rPr>
  </w:style>
  <w:style w:type="paragraph" w:styleId="Caption">
    <w:name w:val="caption"/>
    <w:basedOn w:val="Normal"/>
    <w:next w:val="Normal"/>
    <w:uiPriority w:val="35"/>
    <w:unhideWhenUsed/>
    <w:qFormat/>
    <w:rsid w:val="0049180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2722470">
      <w:bodyDiv w:val="1"/>
      <w:marLeft w:val="0"/>
      <w:marRight w:val="0"/>
      <w:marTop w:val="0"/>
      <w:marBottom w:val="0"/>
      <w:divBdr>
        <w:top w:val="none" w:sz="0" w:space="0" w:color="auto"/>
        <w:left w:val="none" w:sz="0" w:space="0" w:color="auto"/>
        <w:bottom w:val="none" w:sz="0" w:space="0" w:color="auto"/>
        <w:right w:val="none" w:sz="0" w:space="0" w:color="auto"/>
      </w:divBdr>
    </w:div>
    <w:div w:id="1007754285">
      <w:bodyDiv w:val="1"/>
      <w:marLeft w:val="0"/>
      <w:marRight w:val="0"/>
      <w:marTop w:val="0"/>
      <w:marBottom w:val="0"/>
      <w:divBdr>
        <w:top w:val="none" w:sz="0" w:space="0" w:color="auto"/>
        <w:left w:val="none" w:sz="0" w:space="0" w:color="auto"/>
        <w:bottom w:val="none" w:sz="0" w:space="0" w:color="auto"/>
        <w:right w:val="none" w:sz="0" w:space="0" w:color="auto"/>
      </w:divBdr>
    </w:div>
    <w:div w:id="1772697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oundaryproject.io/docs/installing/high-availability"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medium.com/hashicorp-engineering/hashicorp-boundary-make-sure-your-human-to-machine-access-is-secure-68718674c22c" TargetMode="External"/><Relationship Id="rId12" Type="http://schemas.openxmlformats.org/officeDocument/2006/relationships/image" Target="media/image2.png"/><Relationship Id="rId17" Type="http://schemas.openxmlformats.org/officeDocument/2006/relationships/hyperlink" Target="https://learn.hashicorp.com/tutorials/boundary/getting-started-dev?in=boundary/getting-started" TargetMode="Externa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www.hashicorp.com/resources/secure-access-management-with-hashicorp-boundary" TargetMode="External"/><Relationship Id="rId11" Type="http://schemas.openxmlformats.org/officeDocument/2006/relationships/image" Target="media/image1.png"/><Relationship Id="rId5" Type="http://schemas.openxmlformats.org/officeDocument/2006/relationships/hyperlink" Target="https://www.mozilla.org/en-US/MPL/2.0/" TargetMode="External"/><Relationship Id="rId15" Type="http://schemas.openxmlformats.org/officeDocument/2006/relationships/image" Target="media/image5.png"/><Relationship Id="rId10" Type="http://schemas.openxmlformats.org/officeDocument/2006/relationships/hyperlink" Target="https://learn.hashicorp.com/tutorials/boundary/getting-started-install"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boundaryproject.io/docs/concepts/domain-model"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1128</TotalTime>
  <Pages>4</Pages>
  <Words>290</Words>
  <Characters>1655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t16945</dc:creator>
  <cp:keywords/>
  <dc:description/>
  <cp:lastModifiedBy>t16945</cp:lastModifiedBy>
  <cp:revision>2</cp:revision>
  <dcterms:created xsi:type="dcterms:W3CDTF">2020-11-28T12:47:00Z</dcterms:created>
  <dcterms:modified xsi:type="dcterms:W3CDTF">2020-11-29T07:54:00Z</dcterms:modified>
</cp:coreProperties>
</file>