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B00FEB" w14:textId="42B7FE3C" w:rsidR="0083308D" w:rsidRDefault="0083308D">
      <w:proofErr w:type="spellStart"/>
      <w:r>
        <w:rPr>
          <w:rFonts w:hint="eastAsia"/>
        </w:rPr>
        <w:t>Hashicorp</w:t>
      </w:r>
      <w:proofErr w:type="spellEnd"/>
      <w:r>
        <w:t xml:space="preserve"> </w:t>
      </w:r>
      <w:r>
        <w:rPr>
          <w:rFonts w:hint="eastAsia"/>
        </w:rPr>
        <w:t>B</w:t>
      </w:r>
      <w:r>
        <w:t xml:space="preserve">oundary </w:t>
      </w:r>
      <w:r w:rsidR="0004541F">
        <w:rPr>
          <w:rFonts w:hint="eastAsia"/>
        </w:rPr>
        <w:t>Investigation</w:t>
      </w:r>
      <w:r w:rsidR="0004541F">
        <w:t xml:space="preserve"> </w:t>
      </w:r>
      <w:r w:rsidR="0004541F">
        <w:rPr>
          <w:rFonts w:hint="eastAsia"/>
        </w:rPr>
        <w:t>Report</w:t>
      </w:r>
    </w:p>
    <w:p w14:paraId="18D9A97E" w14:textId="3AE625B9" w:rsidR="0083308D" w:rsidRDefault="0004541F" w:rsidP="001F38EE">
      <w:pPr>
        <w:pStyle w:val="a3"/>
        <w:numPr>
          <w:ilvl w:val="0"/>
          <w:numId w:val="1"/>
        </w:numPr>
      </w:pPr>
      <w:r>
        <w:t>License</w:t>
      </w:r>
    </w:p>
    <w:p w14:paraId="05B720C4" w14:textId="78AB932F" w:rsidR="001F38EE" w:rsidRDefault="001F38EE" w:rsidP="001F38EE">
      <w:pPr>
        <w:pStyle w:val="a3"/>
      </w:pPr>
      <w:r w:rsidRPr="001F38EE">
        <w:t>Mozilla Public License 2.0</w:t>
      </w:r>
    </w:p>
    <w:p w14:paraId="693A6D41" w14:textId="2317F43A" w:rsidR="00CB2603" w:rsidRDefault="00F31DC9" w:rsidP="001F38EE">
      <w:pPr>
        <w:pStyle w:val="a3"/>
      </w:pPr>
      <w:hyperlink r:id="rId5" w:history="1">
        <w:r w:rsidR="00CB2603" w:rsidRPr="00E142BA">
          <w:rPr>
            <w:rStyle w:val="a4"/>
          </w:rPr>
          <w:t>https://www.mozilla.org/en-US/MPL/2.0/</w:t>
        </w:r>
      </w:hyperlink>
    </w:p>
    <w:p w14:paraId="4F5E49CA" w14:textId="77777777" w:rsidR="00CB2603" w:rsidRDefault="00CB2603" w:rsidP="00CB2603">
      <w:pPr>
        <w:pStyle w:val="a3"/>
      </w:pPr>
      <w:r>
        <w:rPr>
          <w:rFonts w:hint="eastAsia"/>
        </w:rPr>
        <w:t>MPL</w:t>
      </w:r>
      <w:r>
        <w:rPr>
          <w:rFonts w:hint="eastAsia"/>
        </w:rPr>
        <w:t>既是得到自由软件基金会承认的自由软件许可证</w:t>
      </w:r>
      <w:r>
        <w:rPr>
          <w:rFonts w:hint="eastAsia"/>
        </w:rPr>
        <w:t>[</w:t>
      </w:r>
      <w:proofErr w:type="gramStart"/>
      <w:r>
        <w:rPr>
          <w:rFonts w:hint="eastAsia"/>
        </w:rPr>
        <w:t>3]</w:t>
      </w:r>
      <w:r>
        <w:rPr>
          <w:rFonts w:hint="eastAsia"/>
        </w:rPr>
        <w:t>，</w:t>
      </w:r>
      <w:proofErr w:type="gramEnd"/>
      <w:r>
        <w:rPr>
          <w:rFonts w:hint="eastAsia"/>
        </w:rPr>
        <w:t>也是得到开放源代码促进会承认的开源软件许可证</w:t>
      </w:r>
      <w:r>
        <w:rPr>
          <w:rFonts w:hint="eastAsia"/>
        </w:rPr>
        <w:t>[4]</w:t>
      </w:r>
      <w:r>
        <w:rPr>
          <w:rFonts w:hint="eastAsia"/>
        </w:rPr>
        <w:t>。</w:t>
      </w:r>
      <w:r>
        <w:rPr>
          <w:rFonts w:hint="eastAsia"/>
        </w:rPr>
        <w:t>MPL</w:t>
      </w:r>
      <w:r>
        <w:rPr>
          <w:rFonts w:hint="eastAsia"/>
        </w:rPr>
        <w:t>允许在其授权下的源代码与其他授权的文件进行混合，包括私有许可证。但在</w:t>
      </w:r>
      <w:r>
        <w:rPr>
          <w:rFonts w:hint="eastAsia"/>
        </w:rPr>
        <w:t>MPL</w:t>
      </w:r>
      <w:r>
        <w:rPr>
          <w:rFonts w:hint="eastAsia"/>
        </w:rPr>
        <w:t>授权下的代码文件必须保持</w:t>
      </w:r>
      <w:r>
        <w:rPr>
          <w:rFonts w:hint="eastAsia"/>
        </w:rPr>
        <w:t>MPL</w:t>
      </w:r>
      <w:r>
        <w:rPr>
          <w:rFonts w:hint="eastAsia"/>
        </w:rPr>
        <w:t>授权，并且保持开源。</w:t>
      </w:r>
      <w:r>
        <w:rPr>
          <w:rFonts w:hint="eastAsia"/>
        </w:rPr>
        <w:t>[5]</w:t>
      </w:r>
      <w:r>
        <w:rPr>
          <w:rFonts w:hint="eastAsia"/>
        </w:rPr>
        <w:t>这样的条款让</w:t>
      </w:r>
      <w:r>
        <w:rPr>
          <w:rFonts w:hint="eastAsia"/>
        </w:rPr>
        <w:t>MPL</w:t>
      </w:r>
      <w:r>
        <w:rPr>
          <w:rFonts w:hint="eastAsia"/>
        </w:rPr>
        <w:t>既不像</w:t>
      </w:r>
      <w:r>
        <w:rPr>
          <w:rFonts w:hint="eastAsia"/>
        </w:rPr>
        <w:t>MIT</w:t>
      </w:r>
      <w:r>
        <w:rPr>
          <w:rFonts w:hint="eastAsia"/>
        </w:rPr>
        <w:t>和</w:t>
      </w:r>
      <w:r>
        <w:rPr>
          <w:rFonts w:hint="eastAsia"/>
        </w:rPr>
        <w:t>BSD</w:t>
      </w:r>
      <w:r>
        <w:rPr>
          <w:rFonts w:hint="eastAsia"/>
        </w:rPr>
        <w:t>那样允许派生作品完全转化为私有，也不像</w:t>
      </w:r>
      <w:r>
        <w:rPr>
          <w:rFonts w:hint="eastAsia"/>
        </w:rPr>
        <w:t>GPL</w:t>
      </w:r>
      <w:r>
        <w:rPr>
          <w:rFonts w:hint="eastAsia"/>
        </w:rPr>
        <w:t>那样要求所有的派生作品，包括新的组件在内，全部必须保持</w:t>
      </w:r>
      <w:r>
        <w:rPr>
          <w:rFonts w:hint="eastAsia"/>
        </w:rPr>
        <w:t>GPL</w:t>
      </w:r>
      <w:r>
        <w:rPr>
          <w:rFonts w:hint="eastAsia"/>
        </w:rPr>
        <w:t>。通过允许在派生项目中存在私有模块，同时保证核心文件的开源，</w:t>
      </w:r>
      <w:r>
        <w:rPr>
          <w:rFonts w:hint="eastAsia"/>
        </w:rPr>
        <w:t>MPL</w:t>
      </w:r>
      <w:r>
        <w:rPr>
          <w:rFonts w:hint="eastAsia"/>
        </w:rPr>
        <w:t>同时激励了商业及开源社区来参与帮助开发核心软件。</w:t>
      </w:r>
      <w:r>
        <w:rPr>
          <w:rFonts w:hint="eastAsia"/>
        </w:rPr>
        <w:t>[14]</w:t>
      </w:r>
    </w:p>
    <w:p w14:paraId="6F419D2D" w14:textId="77777777" w:rsidR="00CB2603" w:rsidRDefault="00CB2603" w:rsidP="00CB2603">
      <w:pPr>
        <w:pStyle w:val="a3"/>
      </w:pPr>
    </w:p>
    <w:p w14:paraId="4337BC89" w14:textId="77777777" w:rsidR="00CB2603" w:rsidRDefault="00CB2603" w:rsidP="00CB2603">
      <w:pPr>
        <w:pStyle w:val="a3"/>
      </w:pPr>
      <w:r>
        <w:rPr>
          <w:rFonts w:hint="eastAsia"/>
        </w:rPr>
        <w:t>使用</w:t>
      </w:r>
      <w:r>
        <w:rPr>
          <w:rFonts w:hint="eastAsia"/>
        </w:rPr>
        <w:t>MPL</w:t>
      </w:r>
      <w:r>
        <w:rPr>
          <w:rFonts w:hint="eastAsia"/>
        </w:rPr>
        <w:t>许可的软件并不受专利的限制，其可以自由使用，出售，并可自由的重新发布。带有专利代码的版本仍然可以使用，转让，甚至出售，但未经许可则不能修改代码。此外，</w:t>
      </w:r>
      <w:r>
        <w:rPr>
          <w:rFonts w:hint="eastAsia"/>
        </w:rPr>
        <w:t>MPL</w:t>
      </w:r>
      <w:r>
        <w:rPr>
          <w:rFonts w:hint="eastAsia"/>
        </w:rPr>
        <w:t>并不授予用户对于开发</w:t>
      </w:r>
      <w:proofErr w:type="gramStart"/>
      <w:r>
        <w:rPr>
          <w:rFonts w:hint="eastAsia"/>
        </w:rPr>
        <w:t>者商标</w:t>
      </w:r>
      <w:proofErr w:type="gramEnd"/>
      <w:r>
        <w:rPr>
          <w:rFonts w:hint="eastAsia"/>
        </w:rPr>
        <w:t>的使用权</w:t>
      </w:r>
      <w:r>
        <w:rPr>
          <w:rFonts w:hint="eastAsia"/>
        </w:rPr>
        <w:t>[5]</w:t>
      </w:r>
      <w:r>
        <w:rPr>
          <w:rFonts w:hint="eastAsia"/>
        </w:rPr>
        <w:t>。</w:t>
      </w:r>
    </w:p>
    <w:p w14:paraId="4C48B0E8" w14:textId="77777777" w:rsidR="00CB2603" w:rsidRDefault="00CB2603" w:rsidP="00CB2603">
      <w:pPr>
        <w:pStyle w:val="a3"/>
      </w:pPr>
    </w:p>
    <w:p w14:paraId="1FE39879" w14:textId="081FA840" w:rsidR="00A769BD" w:rsidRDefault="00CB2603" w:rsidP="00A769BD">
      <w:pPr>
        <w:pStyle w:val="a3"/>
      </w:pPr>
      <w:r>
        <w:rPr>
          <w:rFonts w:hint="eastAsia"/>
        </w:rPr>
        <w:t>为了满足</w:t>
      </w:r>
      <w:r>
        <w:rPr>
          <w:rFonts w:hint="eastAsia"/>
        </w:rPr>
        <w:t>MPL</w:t>
      </w:r>
      <w:r>
        <w:rPr>
          <w:rFonts w:hint="eastAsia"/>
        </w:rPr>
        <w:t>的条款限制，用户必须负担一些“责任”，主要是关于散发使用</w:t>
      </w:r>
      <w:r>
        <w:rPr>
          <w:rFonts w:hint="eastAsia"/>
        </w:rPr>
        <w:t>MPL</w:t>
      </w:r>
      <w:r>
        <w:rPr>
          <w:rFonts w:hint="eastAsia"/>
        </w:rPr>
        <w:t>许可的软件。用户必须确保重新散发的软件所有源代码均以</w:t>
      </w:r>
      <w:r>
        <w:rPr>
          <w:rFonts w:hint="eastAsia"/>
        </w:rPr>
        <w:t>MPL</w:t>
      </w:r>
      <w:r>
        <w:rPr>
          <w:rFonts w:hint="eastAsia"/>
        </w:rPr>
        <w:t>许可，即使是以可执行文件的方式提供或是与其他使用专有软件许可的源代码结合也一样。但若跟以</w:t>
      </w:r>
      <w:r>
        <w:rPr>
          <w:rFonts w:hint="eastAsia"/>
        </w:rPr>
        <w:t>GNU</w:t>
      </w:r>
      <w:r>
        <w:rPr>
          <w:rFonts w:hint="eastAsia"/>
        </w:rPr>
        <w:t>通用公共许可协议、</w:t>
      </w:r>
      <w:r>
        <w:rPr>
          <w:rFonts w:hint="eastAsia"/>
        </w:rPr>
        <w:t>GNU</w:t>
      </w:r>
      <w:r>
        <w:rPr>
          <w:rFonts w:hint="eastAsia"/>
        </w:rPr>
        <w:t>宽通用公共许可证、</w:t>
      </w:r>
      <w:proofErr w:type="spellStart"/>
      <w:r>
        <w:rPr>
          <w:rFonts w:hint="eastAsia"/>
        </w:rPr>
        <w:t>Affero</w:t>
      </w:r>
      <w:proofErr w:type="spellEnd"/>
      <w:r>
        <w:rPr>
          <w:rFonts w:hint="eastAsia"/>
        </w:rPr>
        <w:t>通用公共许可证许可的源代码结合则是例外。此时开发者则可选用以上三种更加严格的条款来许可</w:t>
      </w:r>
      <w:r>
        <w:rPr>
          <w:rFonts w:hint="eastAsia"/>
        </w:rPr>
        <w:t>[5]</w:t>
      </w:r>
      <w:r>
        <w:rPr>
          <w:rFonts w:hint="eastAsia"/>
        </w:rPr>
        <w:t>。</w:t>
      </w:r>
    </w:p>
    <w:p w14:paraId="49D3990D" w14:textId="66FEDA9C" w:rsidR="00A769BD" w:rsidRDefault="00F31DC9" w:rsidP="00A769BD">
      <w:pPr>
        <w:pStyle w:val="a3"/>
        <w:numPr>
          <w:ilvl w:val="0"/>
          <w:numId w:val="1"/>
        </w:numPr>
      </w:pPr>
      <w:r>
        <w:rPr>
          <w:rFonts w:hint="eastAsia"/>
        </w:rPr>
        <w:t>I</w:t>
      </w:r>
      <w:r>
        <w:t>ntroduction</w:t>
      </w:r>
    </w:p>
    <w:p w14:paraId="57C7CBF0" w14:textId="7B095CA3" w:rsidR="00A769BD" w:rsidRDefault="00F31DC9" w:rsidP="00A769BD">
      <w:pPr>
        <w:pStyle w:val="a3"/>
        <w:numPr>
          <w:ilvl w:val="1"/>
          <w:numId w:val="1"/>
        </w:numPr>
      </w:pPr>
      <w:r>
        <w:rPr>
          <w:rFonts w:hint="eastAsia"/>
        </w:rPr>
        <w:t>C</w:t>
      </w:r>
      <w:r>
        <w:t>oncept</w:t>
      </w:r>
    </w:p>
    <w:p w14:paraId="3F7C68B5" w14:textId="191B0B7F" w:rsidR="00F44F56" w:rsidRDefault="00F44F56" w:rsidP="00F44F56">
      <w:pPr>
        <w:pStyle w:val="a3"/>
        <w:ind w:left="1440"/>
      </w:pPr>
      <w:r w:rsidRPr="00F44F56">
        <w:t xml:space="preserve">Boundary is a new secure access management offering from </w:t>
      </w:r>
      <w:proofErr w:type="spellStart"/>
      <w:r w:rsidRPr="00F44F56">
        <w:t>HashiCorp</w:t>
      </w:r>
      <w:proofErr w:type="spellEnd"/>
      <w:r w:rsidRPr="00F44F56">
        <w:t>, that's going to enable identity-based access controls for dynamic infrastructure.</w:t>
      </w:r>
    </w:p>
    <w:p w14:paraId="3FE03463" w14:textId="224D360C" w:rsidR="00F31DC9" w:rsidRDefault="00F31DC9" w:rsidP="00F44F56">
      <w:pPr>
        <w:pStyle w:val="a3"/>
        <w:ind w:left="1440"/>
      </w:pPr>
      <w:hyperlink r:id="rId6" w:history="1">
        <w:r w:rsidRPr="00E82950">
          <w:rPr>
            <w:rStyle w:val="a4"/>
          </w:rPr>
          <w:t>https://www.boundaryproject.io/docs/concepts</w:t>
        </w:r>
      </w:hyperlink>
    </w:p>
    <w:p w14:paraId="433E281D" w14:textId="07F79372" w:rsidR="00F44F56" w:rsidRPr="00F44F56" w:rsidRDefault="00F44F56" w:rsidP="00F44F56">
      <w:pPr>
        <w:pStyle w:val="a3"/>
        <w:ind w:left="1440"/>
        <w:rPr>
          <w:b/>
          <w:bCs/>
        </w:rPr>
      </w:pPr>
      <w:r w:rsidRPr="00F44F56">
        <w:rPr>
          <w:b/>
          <w:bCs/>
        </w:rPr>
        <w:t>Traditional workflow for access</w:t>
      </w:r>
    </w:p>
    <w:p w14:paraId="086B48B8" w14:textId="40B2E367" w:rsidR="00F44F56" w:rsidRDefault="00F44F56" w:rsidP="00F44F56">
      <w:pPr>
        <w:pStyle w:val="a3"/>
        <w:ind w:left="1440"/>
      </w:pPr>
      <w:r w:rsidRPr="00E95E30">
        <w:rPr>
          <w:noProof/>
        </w:rPr>
        <w:drawing>
          <wp:inline distT="0" distB="0" distL="0" distR="0" wp14:anchorId="580834A4" wp14:editId="3FF47558">
            <wp:extent cx="4959350" cy="195724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0203" cy="1961531"/>
                    </a:xfrm>
                    <a:prstGeom prst="rect">
                      <a:avLst/>
                    </a:prstGeom>
                  </pic:spPr>
                </pic:pic>
              </a:graphicData>
            </a:graphic>
          </wp:inline>
        </w:drawing>
      </w:r>
    </w:p>
    <w:p w14:paraId="29CAB758" w14:textId="6BA9FCAF" w:rsidR="00F44F56" w:rsidRPr="00F44F56" w:rsidRDefault="00F44F56" w:rsidP="00F44F56">
      <w:pPr>
        <w:pStyle w:val="a3"/>
        <w:ind w:left="1440"/>
        <w:rPr>
          <w:b/>
          <w:bCs/>
        </w:rPr>
      </w:pPr>
      <w:r w:rsidRPr="00F44F56">
        <w:rPr>
          <w:b/>
          <w:bCs/>
        </w:rPr>
        <w:t>Dynamic workflow for access</w:t>
      </w:r>
    </w:p>
    <w:p w14:paraId="0423A394" w14:textId="77777777" w:rsidR="00F44F56" w:rsidRDefault="00F44F56" w:rsidP="00F44F56">
      <w:pPr>
        <w:pStyle w:val="a3"/>
        <w:ind w:left="1440"/>
      </w:pPr>
      <w:r>
        <w:t xml:space="preserve">With Boundary, access permissions are based on the user client's identity rather than their network location or their access to static credentials. Their identity is assigned to a </w:t>
      </w:r>
      <w:r>
        <w:lastRenderedPageBreak/>
        <w:t>role which gives it access to a set of hosts and services that it can connect to and perform actions on securely — even over lower zero trust networks.</w:t>
      </w:r>
    </w:p>
    <w:p w14:paraId="66470D26" w14:textId="77777777" w:rsidR="00F44F56" w:rsidRDefault="00F44F56" w:rsidP="00F44F56">
      <w:pPr>
        <w:pStyle w:val="a3"/>
        <w:ind w:left="1440"/>
      </w:pPr>
    </w:p>
    <w:p w14:paraId="734FB7D6" w14:textId="69DF90CD" w:rsidR="00F44F56" w:rsidRDefault="00F44F56" w:rsidP="00F44F56">
      <w:pPr>
        <w:pStyle w:val="a3"/>
        <w:ind w:left="1440"/>
      </w:pPr>
      <w:r>
        <w:t xml:space="preserve">When I go to connect, the connection configuration to that end target is automated. </w:t>
      </w:r>
      <w:r w:rsidR="00FB23A7">
        <w:t xml:space="preserve">This means </w:t>
      </w:r>
      <w:r>
        <w:t>the process of discovering new targets as they're deployed is automated — as is the process of applying rules, policies, and credentials that govern how I can access my target. This way, the access policies assigned to that target are applied even as new host instances are provisioned or updated.</w:t>
      </w:r>
    </w:p>
    <w:p w14:paraId="43BA8937" w14:textId="0615143E" w:rsidR="00F44F56" w:rsidRDefault="00F44F56" w:rsidP="00F44F56">
      <w:pPr>
        <w:pStyle w:val="a3"/>
        <w:ind w:left="1440"/>
      </w:pPr>
      <w:r w:rsidRPr="00E95E30">
        <w:rPr>
          <w:noProof/>
        </w:rPr>
        <w:drawing>
          <wp:inline distT="0" distB="0" distL="0" distR="0" wp14:anchorId="71B631E3" wp14:editId="4C884ED0">
            <wp:extent cx="4940300" cy="1678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8190" cy="1685043"/>
                    </a:xfrm>
                    <a:prstGeom prst="rect">
                      <a:avLst/>
                    </a:prstGeom>
                  </pic:spPr>
                </pic:pic>
              </a:graphicData>
            </a:graphic>
          </wp:inline>
        </w:drawing>
      </w:r>
    </w:p>
    <w:p w14:paraId="5242D777" w14:textId="5146E4E2" w:rsidR="00A769BD" w:rsidRDefault="00F31DC9" w:rsidP="00A769BD">
      <w:pPr>
        <w:pStyle w:val="a3"/>
        <w:numPr>
          <w:ilvl w:val="1"/>
          <w:numId w:val="1"/>
        </w:numPr>
      </w:pPr>
      <w:r w:rsidRPr="0004541F">
        <w:rPr>
          <w:b/>
          <w:bCs/>
        </w:rPr>
        <w:t>Boundary’s Structure and Hierarchy</w:t>
      </w:r>
    </w:p>
    <w:p w14:paraId="4571599F" w14:textId="04C7A9D8" w:rsidR="00F707DF" w:rsidRDefault="00F31DC9" w:rsidP="00F707DF">
      <w:pPr>
        <w:pStyle w:val="a3"/>
        <w:ind w:left="1440"/>
        <w:rPr>
          <w:rStyle w:val="a4"/>
        </w:rPr>
      </w:pPr>
      <w:hyperlink r:id="rId9" w:history="1">
        <w:r w:rsidR="00F707DF" w:rsidRPr="00E142BA">
          <w:rPr>
            <w:rStyle w:val="a4"/>
          </w:rPr>
          <w:t>https://www.hashicorp.com/resources/secure-access-management-with-hashicorp-boundary</w:t>
        </w:r>
      </w:hyperlink>
    </w:p>
    <w:p w14:paraId="532ACB6D" w14:textId="249F2A9F" w:rsidR="001F3C77" w:rsidRDefault="00F31DC9" w:rsidP="0004541F">
      <w:pPr>
        <w:pStyle w:val="a3"/>
        <w:ind w:left="1440"/>
      </w:pPr>
      <w:hyperlink r:id="rId10" w:history="1">
        <w:r w:rsidR="007651B0" w:rsidRPr="00E529D4">
          <w:rPr>
            <w:rStyle w:val="a4"/>
          </w:rPr>
          <w:t>https://medium.com/hashicorp-e</w:t>
        </w:r>
        <w:r w:rsidR="007651B0" w:rsidRPr="00E529D4">
          <w:rPr>
            <w:rStyle w:val="a4"/>
          </w:rPr>
          <w:t>ngi</w:t>
        </w:r>
        <w:r w:rsidR="007651B0" w:rsidRPr="00E529D4">
          <w:rPr>
            <w:rStyle w:val="a4"/>
          </w:rPr>
          <w:t>n</w:t>
        </w:r>
        <w:r w:rsidR="007651B0" w:rsidRPr="00E529D4">
          <w:rPr>
            <w:rStyle w:val="a4"/>
          </w:rPr>
          <w:t>eering/hashicorp-boundary-make-sure-your-human-to-machine-access-is-secure-68718674c22c</w:t>
        </w:r>
      </w:hyperlink>
      <w:r w:rsidR="0004541F">
        <w:t xml:space="preserve"> </w:t>
      </w:r>
    </w:p>
    <w:p w14:paraId="5A67AC82" w14:textId="6149B5BA" w:rsidR="0004541F" w:rsidRDefault="0004541F" w:rsidP="0004541F">
      <w:pPr>
        <w:pStyle w:val="a3"/>
        <w:ind w:left="1440"/>
        <w:rPr>
          <w:b/>
          <w:bCs/>
        </w:rPr>
      </w:pPr>
      <w:proofErr w:type="spellStart"/>
      <w:r w:rsidRPr="0004541F">
        <w:rPr>
          <w:b/>
          <w:bCs/>
        </w:rPr>
        <w:t>HashiCorp</w:t>
      </w:r>
      <w:proofErr w:type="spellEnd"/>
      <w:r w:rsidRPr="0004541F">
        <w:rPr>
          <w:b/>
          <w:bCs/>
        </w:rPr>
        <w:t xml:space="preserve"> Boundary’s Structure and Hierarchy</w:t>
      </w:r>
    </w:p>
    <w:p w14:paraId="0FC4D21B" w14:textId="2DA817A0" w:rsidR="0004541F" w:rsidRPr="0004541F" w:rsidRDefault="0004541F" w:rsidP="0004541F">
      <w:pPr>
        <w:pStyle w:val="a3"/>
        <w:ind w:left="1440"/>
      </w:pPr>
      <w:hyperlink r:id="rId11" w:history="1">
        <w:r w:rsidRPr="0004541F">
          <w:rPr>
            <w:rStyle w:val="a4"/>
          </w:rPr>
          <w:t>https://www.boundaryproject.io/docs/concepts/domain-model</w:t>
        </w:r>
      </w:hyperlink>
    </w:p>
    <w:p w14:paraId="5651D676" w14:textId="77777777" w:rsidR="0004541F" w:rsidRDefault="0004541F" w:rsidP="0004541F">
      <w:pPr>
        <w:pStyle w:val="a3"/>
        <w:ind w:left="1440"/>
      </w:pPr>
      <w:r>
        <w:t>Below is an image showing the general structure within Boundary.</w:t>
      </w:r>
    </w:p>
    <w:p w14:paraId="1C9D418A" w14:textId="14501995" w:rsidR="0004541F" w:rsidRDefault="0004541F" w:rsidP="0004541F">
      <w:pPr>
        <w:pStyle w:val="a3"/>
        <w:ind w:left="1440"/>
      </w:pPr>
      <w:r>
        <w:t>At the top level is a Global.</w:t>
      </w:r>
    </w:p>
    <w:p w14:paraId="18E05C9B" w14:textId="0681A459" w:rsidR="0004541F" w:rsidRDefault="0004541F" w:rsidP="0004541F">
      <w:pPr>
        <w:pStyle w:val="a3"/>
        <w:ind w:left="1440"/>
      </w:pPr>
      <w:r>
        <w:rPr>
          <w:noProof/>
        </w:rPr>
        <w:drawing>
          <wp:inline distT="0" distB="0" distL="0" distR="0" wp14:anchorId="5A96E25F" wp14:editId="7AD26353">
            <wp:extent cx="1353694" cy="2279610"/>
            <wp:effectExtent l="0" t="0" r="0" b="6985"/>
            <wp:docPr id="9" name="图片 9" descr="Boundary Structure and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undary Structure and Hierarch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3411" cy="2329653"/>
                    </a:xfrm>
                    <a:prstGeom prst="rect">
                      <a:avLst/>
                    </a:prstGeom>
                    <a:noFill/>
                    <a:ln>
                      <a:noFill/>
                    </a:ln>
                  </pic:spPr>
                </pic:pic>
              </a:graphicData>
            </a:graphic>
          </wp:inline>
        </w:drawing>
      </w:r>
      <w:r>
        <w:rPr>
          <w:noProof/>
        </w:rPr>
        <w:t xml:space="preserve">             </w:t>
      </w:r>
      <w:r w:rsidRPr="001F3C77">
        <w:rPr>
          <w:noProof/>
        </w:rPr>
        <w:drawing>
          <wp:inline distT="0" distB="0" distL="0" distR="0" wp14:anchorId="0D6509BA" wp14:editId="5D5C4419">
            <wp:extent cx="3244215" cy="1320216"/>
            <wp:effectExtent l="0" t="0" r="0" b="0"/>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a:blip r:embed="rId13"/>
                    <a:stretch>
                      <a:fillRect/>
                    </a:stretch>
                  </pic:blipFill>
                  <pic:spPr>
                    <a:xfrm>
                      <a:off x="0" y="0"/>
                      <a:ext cx="3257006" cy="1325421"/>
                    </a:xfrm>
                    <a:prstGeom prst="rect">
                      <a:avLst/>
                    </a:prstGeom>
                  </pic:spPr>
                </pic:pic>
              </a:graphicData>
            </a:graphic>
          </wp:inline>
        </w:drawing>
      </w:r>
    </w:p>
    <w:p w14:paraId="57E80859" w14:textId="77777777" w:rsidR="0004541F" w:rsidRDefault="0004541F" w:rsidP="0004541F">
      <w:pPr>
        <w:pStyle w:val="a3"/>
        <w:numPr>
          <w:ilvl w:val="0"/>
          <w:numId w:val="2"/>
        </w:numPr>
      </w:pPr>
      <w:r>
        <w:t>An Organization is a child of Global.</w:t>
      </w:r>
    </w:p>
    <w:p w14:paraId="7B952787" w14:textId="77777777" w:rsidR="0004541F" w:rsidRDefault="0004541F" w:rsidP="0004541F">
      <w:pPr>
        <w:pStyle w:val="a3"/>
        <w:numPr>
          <w:ilvl w:val="0"/>
          <w:numId w:val="2"/>
        </w:numPr>
      </w:pPr>
      <w:r>
        <w:t>Within an Organization, there are auth methods, users, groups, and projects.</w:t>
      </w:r>
    </w:p>
    <w:p w14:paraId="241A6725" w14:textId="77777777" w:rsidR="0004541F" w:rsidRDefault="0004541F" w:rsidP="0004541F">
      <w:pPr>
        <w:pStyle w:val="a3"/>
        <w:numPr>
          <w:ilvl w:val="0"/>
          <w:numId w:val="2"/>
        </w:numPr>
      </w:pPr>
      <w:r>
        <w:t>Within each project, you define roles, targets, and host catalogs.</w:t>
      </w:r>
    </w:p>
    <w:p w14:paraId="23F3CF15" w14:textId="77777777" w:rsidR="0004541F" w:rsidRDefault="0004541F" w:rsidP="0004541F">
      <w:pPr>
        <w:pStyle w:val="a3"/>
        <w:numPr>
          <w:ilvl w:val="0"/>
          <w:numId w:val="2"/>
        </w:numPr>
      </w:pPr>
      <w:r>
        <w:t>Inside a host catalog are host sets.</w:t>
      </w:r>
    </w:p>
    <w:p w14:paraId="5B5C2DE5" w14:textId="77777777" w:rsidR="0004541F" w:rsidRDefault="0004541F" w:rsidP="0004541F">
      <w:pPr>
        <w:pStyle w:val="a3"/>
        <w:numPr>
          <w:ilvl w:val="0"/>
          <w:numId w:val="2"/>
        </w:numPr>
      </w:pPr>
      <w:r>
        <w:t>Inside of host sets are the end target hosts.</w:t>
      </w:r>
    </w:p>
    <w:p w14:paraId="7A599F27" w14:textId="77777777" w:rsidR="0004541F" w:rsidRDefault="0004541F" w:rsidP="0004541F">
      <w:pPr>
        <w:pStyle w:val="a3"/>
        <w:ind w:left="1440"/>
      </w:pPr>
      <w:r>
        <w:lastRenderedPageBreak/>
        <w:t>You can create host sets that contain application infrastructure such as App Host Set 1 shown below. You can also create host sets based on function, such as the database host set shown in the image below. This way, database admins can have access to all databases in the organization.</w:t>
      </w:r>
    </w:p>
    <w:p w14:paraId="4F34F17C" w14:textId="77777777" w:rsidR="0004541F" w:rsidRPr="0004541F" w:rsidRDefault="0004541F" w:rsidP="00F707DF">
      <w:pPr>
        <w:pStyle w:val="a3"/>
        <w:ind w:left="1440"/>
        <w:rPr>
          <w:b/>
          <w:bCs/>
        </w:rPr>
      </w:pPr>
    </w:p>
    <w:p w14:paraId="5BDC5D4E" w14:textId="79F6172D" w:rsidR="00A769BD" w:rsidRDefault="00A769BD" w:rsidP="00A769BD">
      <w:pPr>
        <w:pStyle w:val="a3"/>
        <w:numPr>
          <w:ilvl w:val="1"/>
          <w:numId w:val="1"/>
        </w:numPr>
      </w:pPr>
      <w:r>
        <w:rPr>
          <w:rFonts w:hint="eastAsia"/>
        </w:rPr>
        <w:t>部署环境需求</w:t>
      </w:r>
    </w:p>
    <w:p w14:paraId="70E40804" w14:textId="5456DDBE" w:rsidR="00F31DC9" w:rsidRPr="00F31DC9" w:rsidRDefault="00F31DC9" w:rsidP="00F31DC9">
      <w:pPr>
        <w:pStyle w:val="a3"/>
        <w:ind w:left="1440"/>
        <w:rPr>
          <w:b/>
          <w:bCs/>
        </w:rPr>
      </w:pPr>
      <w:r w:rsidRPr="00F31DC9">
        <w:rPr>
          <w:b/>
          <w:bCs/>
        </w:rPr>
        <w:t>Dev</w:t>
      </w:r>
    </w:p>
    <w:p w14:paraId="4EBC51BD" w14:textId="23287189" w:rsidR="00554491" w:rsidRDefault="00F31DC9" w:rsidP="00554491">
      <w:pPr>
        <w:pStyle w:val="a3"/>
        <w:ind w:left="1440"/>
        <w:rPr>
          <w:rStyle w:val="a4"/>
        </w:rPr>
      </w:pPr>
      <w:hyperlink r:id="rId14" w:history="1">
        <w:r w:rsidR="00F91C53" w:rsidRPr="00E142BA">
          <w:rPr>
            <w:rStyle w:val="a4"/>
          </w:rPr>
          <w:t>https://learn.hashicorp.com/tutorials/boundary/getting-started-install</w:t>
        </w:r>
      </w:hyperlink>
    </w:p>
    <w:p w14:paraId="619848B1" w14:textId="45CA0A52" w:rsidR="0004541F" w:rsidRPr="00F31DC9" w:rsidRDefault="0004541F" w:rsidP="00F31DC9">
      <w:pPr>
        <w:pStyle w:val="a3"/>
        <w:ind w:left="1440"/>
        <w:rPr>
          <w:color w:val="0563C1" w:themeColor="hyperlink"/>
          <w:u w:val="single"/>
        </w:rPr>
      </w:pPr>
      <w:hyperlink r:id="rId15" w:history="1">
        <w:r w:rsidRPr="00E82950">
          <w:rPr>
            <w:rStyle w:val="a4"/>
          </w:rPr>
          <w:t>https://learn.hashicorp.com/tutorials/boundary/getting-started-dev?in=boundary/ge</w:t>
        </w:r>
        <w:r w:rsidRPr="00E82950">
          <w:rPr>
            <w:rStyle w:val="a4"/>
          </w:rPr>
          <w:t>t</w:t>
        </w:r>
        <w:r w:rsidRPr="00E82950">
          <w:rPr>
            <w:rStyle w:val="a4"/>
          </w:rPr>
          <w:t>ting-started</w:t>
        </w:r>
      </w:hyperlink>
    </w:p>
    <w:p w14:paraId="4A4EBE0C" w14:textId="77777777" w:rsidR="0004541F" w:rsidRDefault="0004541F" w:rsidP="00554491">
      <w:pPr>
        <w:pStyle w:val="a3"/>
        <w:ind w:left="1440"/>
      </w:pPr>
    </w:p>
    <w:p w14:paraId="048A008E" w14:textId="716DA925" w:rsidR="00F31DC9" w:rsidRDefault="00F31DC9" w:rsidP="00F31DC9">
      <w:pPr>
        <w:pStyle w:val="a3"/>
        <w:ind w:left="1440"/>
        <w:rPr>
          <w:b/>
          <w:bCs/>
        </w:rPr>
      </w:pPr>
      <w:r w:rsidRPr="0004541F">
        <w:rPr>
          <w:b/>
          <w:bCs/>
        </w:rPr>
        <w:t>Production Deployment</w:t>
      </w:r>
    </w:p>
    <w:p w14:paraId="16FEED80" w14:textId="6B6CF605" w:rsidR="00F31DC9" w:rsidRPr="00F31DC9" w:rsidRDefault="00F31DC9" w:rsidP="00F31DC9">
      <w:pPr>
        <w:pStyle w:val="a3"/>
        <w:ind w:left="1440"/>
      </w:pPr>
      <w:r>
        <w:rPr>
          <w:rFonts w:hint="eastAsia"/>
        </w:rPr>
        <w:t>(</w:t>
      </w:r>
      <w:r>
        <w:rPr>
          <w:rFonts w:hint="eastAsia"/>
        </w:rPr>
        <w:t>已经和得到项目开发人员的确认，目前该项目需要安装</w:t>
      </w:r>
      <w:r>
        <w:rPr>
          <w:rFonts w:hint="eastAsia"/>
        </w:rPr>
        <w:t>boundary</w:t>
      </w:r>
      <w:r>
        <w:rPr>
          <w:rFonts w:hint="eastAsia"/>
        </w:rPr>
        <w:t>在每一个</w:t>
      </w:r>
      <w:r>
        <w:rPr>
          <w:rFonts w:hint="eastAsia"/>
        </w:rPr>
        <w:t>cli</w:t>
      </w:r>
      <w:r>
        <w:t>ent</w:t>
      </w:r>
      <w:r>
        <w:rPr>
          <w:rFonts w:hint="eastAsia"/>
        </w:rPr>
        <w:t>上。</w:t>
      </w:r>
      <w:hyperlink r:id="rId16" w:history="1">
        <w:r w:rsidRPr="0004541F">
          <w:rPr>
            <w:rStyle w:val="a4"/>
          </w:rPr>
          <w:t>https://discuss.hashicorp.com/t/do-we-need-to-install-boundary-to-every-client/18218</w:t>
        </w:r>
      </w:hyperlink>
      <w:r>
        <w:t>)</w:t>
      </w:r>
    </w:p>
    <w:p w14:paraId="70AFAD66" w14:textId="4E67CFCB" w:rsidR="00F31DC9" w:rsidRDefault="00F31DC9" w:rsidP="00F31DC9">
      <w:pPr>
        <w:pStyle w:val="a3"/>
        <w:ind w:left="1440"/>
      </w:pPr>
      <w:r w:rsidRPr="0004541F">
        <w:t xml:space="preserve">Below is a production deployment architectural diagram. Boundary has controllers and workers. In dev mode, they are on the same machine, but in production they’re separate. In short, controllers expose the management plane via an API, whereas workers are the brokers or proxies of the secure sessions. </w:t>
      </w:r>
      <w:hyperlink r:id="rId17" w:history="1">
        <w:r w:rsidRPr="00E82950">
          <w:rPr>
            <w:rStyle w:val="a4"/>
          </w:rPr>
          <w:t>https://www.boundaryproject.io/docs/installing/high-availability</w:t>
        </w:r>
      </w:hyperlink>
    </w:p>
    <w:p w14:paraId="7F9B8FE2" w14:textId="0DEBDBF2" w:rsidR="00F31DC9" w:rsidRDefault="00F31DC9" w:rsidP="00F31DC9">
      <w:pPr>
        <w:pStyle w:val="a3"/>
        <w:ind w:left="1440"/>
      </w:pPr>
      <w:r w:rsidRPr="00F31DC9">
        <w:rPr>
          <w:noProof/>
        </w:rPr>
        <w:drawing>
          <wp:inline distT="0" distB="0" distL="0" distR="0" wp14:anchorId="2C619CB8" wp14:editId="37C61576">
            <wp:extent cx="3244850" cy="2885698"/>
            <wp:effectExtent l="0" t="0" r="0" b="0"/>
            <wp:docPr id="10" name="图片 10" descr="Boundary’s Architecture in a Production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undary’s Architecture in a Production Environ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5607" cy="2904158"/>
                    </a:xfrm>
                    <a:prstGeom prst="rect">
                      <a:avLst/>
                    </a:prstGeom>
                    <a:noFill/>
                    <a:ln>
                      <a:noFill/>
                    </a:ln>
                  </pic:spPr>
                </pic:pic>
              </a:graphicData>
            </a:graphic>
          </wp:inline>
        </w:drawing>
      </w:r>
    </w:p>
    <w:p w14:paraId="16B3A33C" w14:textId="77777777" w:rsidR="00F31DC9" w:rsidRDefault="00F31DC9" w:rsidP="0004541F">
      <w:pPr>
        <w:pStyle w:val="a3"/>
        <w:ind w:left="1440"/>
        <w:rPr>
          <w:rFonts w:hint="eastAsia"/>
        </w:rPr>
      </w:pPr>
    </w:p>
    <w:p w14:paraId="6F48B9B9" w14:textId="1A51F426" w:rsidR="00A769BD" w:rsidRDefault="00A769BD" w:rsidP="009A278B">
      <w:pPr>
        <w:pStyle w:val="a3"/>
        <w:numPr>
          <w:ilvl w:val="1"/>
          <w:numId w:val="1"/>
        </w:numPr>
      </w:pPr>
      <w:r>
        <w:rPr>
          <w:rFonts w:hint="eastAsia"/>
        </w:rPr>
        <w:t>开源社区成熟度</w:t>
      </w:r>
    </w:p>
    <w:p w14:paraId="01CACDA6" w14:textId="49E96528" w:rsidR="00A769BD" w:rsidRDefault="00A769BD" w:rsidP="00A769BD">
      <w:pPr>
        <w:pStyle w:val="a3"/>
        <w:numPr>
          <w:ilvl w:val="0"/>
          <w:numId w:val="1"/>
        </w:numPr>
      </w:pPr>
      <w:r>
        <w:rPr>
          <w:rFonts w:hint="eastAsia"/>
        </w:rPr>
        <w:t>与已有项目融合开发</w:t>
      </w:r>
    </w:p>
    <w:p w14:paraId="19DA95D0" w14:textId="76F8F6A4" w:rsidR="00A769BD" w:rsidRDefault="00A769BD" w:rsidP="00A769BD">
      <w:pPr>
        <w:pStyle w:val="a3"/>
        <w:numPr>
          <w:ilvl w:val="1"/>
          <w:numId w:val="1"/>
        </w:numPr>
      </w:pPr>
      <w:r>
        <w:t>Go language</w:t>
      </w:r>
    </w:p>
    <w:p w14:paraId="60882DE8" w14:textId="1533CFD9" w:rsidR="00491800" w:rsidRPr="00491800" w:rsidRDefault="00A769BD" w:rsidP="00491800">
      <w:pPr>
        <w:pStyle w:val="a3"/>
        <w:numPr>
          <w:ilvl w:val="1"/>
          <w:numId w:val="1"/>
        </w:numPr>
      </w:pPr>
      <w:r>
        <w:t>Commercial support</w:t>
      </w:r>
    </w:p>
    <w:sectPr w:rsidR="00491800" w:rsidRPr="004918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33475"/>
    <w:multiLevelType w:val="hybridMultilevel"/>
    <w:tmpl w:val="AC769A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8A1E7B"/>
    <w:multiLevelType w:val="hybridMultilevel"/>
    <w:tmpl w:val="9D28B5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08D"/>
    <w:rsid w:val="0004541F"/>
    <w:rsid w:val="001F38EE"/>
    <w:rsid w:val="001F3C77"/>
    <w:rsid w:val="00397E93"/>
    <w:rsid w:val="00491800"/>
    <w:rsid w:val="00554491"/>
    <w:rsid w:val="007651B0"/>
    <w:rsid w:val="0083308D"/>
    <w:rsid w:val="00A769BD"/>
    <w:rsid w:val="00CB2603"/>
    <w:rsid w:val="00E95E30"/>
    <w:rsid w:val="00F31DC9"/>
    <w:rsid w:val="00F44F56"/>
    <w:rsid w:val="00F707DF"/>
    <w:rsid w:val="00F91C53"/>
    <w:rsid w:val="00FB2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74A47"/>
  <w15:chartTrackingRefBased/>
  <w15:docId w15:val="{630CC89B-C9B0-4787-A30D-480421146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F38EE"/>
    <w:pPr>
      <w:ind w:left="720"/>
      <w:contextualSpacing/>
    </w:pPr>
  </w:style>
  <w:style w:type="character" w:styleId="a4">
    <w:name w:val="Hyperlink"/>
    <w:basedOn w:val="a0"/>
    <w:uiPriority w:val="99"/>
    <w:unhideWhenUsed/>
    <w:rsid w:val="00CB2603"/>
    <w:rPr>
      <w:color w:val="0563C1" w:themeColor="hyperlink"/>
      <w:u w:val="single"/>
    </w:rPr>
  </w:style>
  <w:style w:type="character" w:styleId="a5">
    <w:name w:val="Unresolved Mention"/>
    <w:basedOn w:val="a0"/>
    <w:uiPriority w:val="99"/>
    <w:semiHidden/>
    <w:unhideWhenUsed/>
    <w:rsid w:val="00CB2603"/>
    <w:rPr>
      <w:color w:val="605E5C"/>
      <w:shd w:val="clear" w:color="auto" w:fill="E1DFDD"/>
    </w:rPr>
  </w:style>
  <w:style w:type="paragraph" w:styleId="a6">
    <w:name w:val="caption"/>
    <w:basedOn w:val="a"/>
    <w:next w:val="a"/>
    <w:uiPriority w:val="35"/>
    <w:unhideWhenUsed/>
    <w:qFormat/>
    <w:rsid w:val="00491800"/>
    <w:pPr>
      <w:spacing w:after="200" w:line="240" w:lineRule="auto"/>
    </w:pPr>
    <w:rPr>
      <w:i/>
      <w:iCs/>
      <w:color w:val="44546A" w:themeColor="text2"/>
      <w:sz w:val="18"/>
      <w:szCs w:val="18"/>
    </w:rPr>
  </w:style>
  <w:style w:type="character" w:styleId="a7">
    <w:name w:val="FollowedHyperlink"/>
    <w:basedOn w:val="a0"/>
    <w:uiPriority w:val="99"/>
    <w:semiHidden/>
    <w:unhideWhenUsed/>
    <w:rsid w:val="00F44F56"/>
    <w:rPr>
      <w:color w:val="954F72" w:themeColor="followedHyperlink"/>
      <w:u w:val="single"/>
    </w:rPr>
  </w:style>
  <w:style w:type="paragraph" w:customStyle="1" w:styleId="gi">
    <w:name w:val="gi"/>
    <w:basedOn w:val="a"/>
    <w:rsid w:val="0004541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630531">
      <w:bodyDiv w:val="1"/>
      <w:marLeft w:val="0"/>
      <w:marRight w:val="0"/>
      <w:marTop w:val="0"/>
      <w:marBottom w:val="0"/>
      <w:divBdr>
        <w:top w:val="none" w:sz="0" w:space="0" w:color="auto"/>
        <w:left w:val="none" w:sz="0" w:space="0" w:color="auto"/>
        <w:bottom w:val="none" w:sz="0" w:space="0" w:color="auto"/>
        <w:right w:val="none" w:sz="0" w:space="0" w:color="auto"/>
      </w:divBdr>
    </w:div>
    <w:div w:id="492722470">
      <w:bodyDiv w:val="1"/>
      <w:marLeft w:val="0"/>
      <w:marRight w:val="0"/>
      <w:marTop w:val="0"/>
      <w:marBottom w:val="0"/>
      <w:divBdr>
        <w:top w:val="none" w:sz="0" w:space="0" w:color="auto"/>
        <w:left w:val="none" w:sz="0" w:space="0" w:color="auto"/>
        <w:bottom w:val="none" w:sz="0" w:space="0" w:color="auto"/>
        <w:right w:val="none" w:sz="0" w:space="0" w:color="auto"/>
      </w:divBdr>
    </w:div>
    <w:div w:id="1007754285">
      <w:bodyDiv w:val="1"/>
      <w:marLeft w:val="0"/>
      <w:marRight w:val="0"/>
      <w:marTop w:val="0"/>
      <w:marBottom w:val="0"/>
      <w:divBdr>
        <w:top w:val="none" w:sz="0" w:space="0" w:color="auto"/>
        <w:left w:val="none" w:sz="0" w:space="0" w:color="auto"/>
        <w:bottom w:val="none" w:sz="0" w:space="0" w:color="auto"/>
        <w:right w:val="none" w:sz="0" w:space="0" w:color="auto"/>
      </w:divBdr>
    </w:div>
    <w:div w:id="1461849791">
      <w:bodyDiv w:val="1"/>
      <w:marLeft w:val="0"/>
      <w:marRight w:val="0"/>
      <w:marTop w:val="0"/>
      <w:marBottom w:val="0"/>
      <w:divBdr>
        <w:top w:val="none" w:sz="0" w:space="0" w:color="auto"/>
        <w:left w:val="none" w:sz="0" w:space="0" w:color="auto"/>
        <w:bottom w:val="none" w:sz="0" w:space="0" w:color="auto"/>
        <w:right w:val="none" w:sz="0" w:space="0" w:color="auto"/>
      </w:divBdr>
      <w:divsChild>
        <w:div w:id="700476292">
          <w:marLeft w:val="0"/>
          <w:marRight w:val="0"/>
          <w:marTop w:val="0"/>
          <w:marBottom w:val="0"/>
          <w:divBdr>
            <w:top w:val="none" w:sz="0" w:space="0" w:color="auto"/>
            <w:left w:val="none" w:sz="0" w:space="0" w:color="auto"/>
            <w:bottom w:val="none" w:sz="0" w:space="0" w:color="auto"/>
            <w:right w:val="none" w:sz="0" w:space="0" w:color="auto"/>
          </w:divBdr>
          <w:divsChild>
            <w:div w:id="1512144722">
              <w:marLeft w:val="0"/>
              <w:marRight w:val="0"/>
              <w:marTop w:val="0"/>
              <w:marBottom w:val="0"/>
              <w:divBdr>
                <w:top w:val="none" w:sz="0" w:space="0" w:color="auto"/>
                <w:left w:val="none" w:sz="0" w:space="0" w:color="auto"/>
                <w:bottom w:val="none" w:sz="0" w:space="0" w:color="auto"/>
                <w:right w:val="none" w:sz="0" w:space="0" w:color="auto"/>
              </w:divBdr>
              <w:divsChild>
                <w:div w:id="591084427">
                  <w:marLeft w:val="0"/>
                  <w:marRight w:val="0"/>
                  <w:marTop w:val="100"/>
                  <w:marBottom w:val="100"/>
                  <w:divBdr>
                    <w:top w:val="none" w:sz="0" w:space="0" w:color="auto"/>
                    <w:left w:val="none" w:sz="0" w:space="0" w:color="auto"/>
                    <w:bottom w:val="none" w:sz="0" w:space="0" w:color="auto"/>
                    <w:right w:val="none" w:sz="0" w:space="0" w:color="auto"/>
                  </w:divBdr>
                  <w:divsChild>
                    <w:div w:id="29690755">
                      <w:marLeft w:val="0"/>
                      <w:marRight w:val="0"/>
                      <w:marTop w:val="0"/>
                      <w:marBottom w:val="0"/>
                      <w:divBdr>
                        <w:top w:val="none" w:sz="0" w:space="0" w:color="auto"/>
                        <w:left w:val="none" w:sz="0" w:space="0" w:color="auto"/>
                        <w:bottom w:val="none" w:sz="0" w:space="0" w:color="auto"/>
                        <w:right w:val="none" w:sz="0" w:space="0" w:color="auto"/>
                      </w:divBdr>
                      <w:divsChild>
                        <w:div w:id="19356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697971">
      <w:bodyDiv w:val="1"/>
      <w:marLeft w:val="0"/>
      <w:marRight w:val="0"/>
      <w:marTop w:val="0"/>
      <w:marBottom w:val="0"/>
      <w:divBdr>
        <w:top w:val="none" w:sz="0" w:space="0" w:color="auto"/>
        <w:left w:val="none" w:sz="0" w:space="0" w:color="auto"/>
        <w:bottom w:val="none" w:sz="0" w:space="0" w:color="auto"/>
        <w:right w:val="none" w:sz="0" w:space="0" w:color="auto"/>
      </w:divBdr>
    </w:div>
    <w:div w:id="1803696846">
      <w:bodyDiv w:val="1"/>
      <w:marLeft w:val="0"/>
      <w:marRight w:val="0"/>
      <w:marTop w:val="0"/>
      <w:marBottom w:val="0"/>
      <w:divBdr>
        <w:top w:val="none" w:sz="0" w:space="0" w:color="auto"/>
        <w:left w:val="none" w:sz="0" w:space="0" w:color="auto"/>
        <w:bottom w:val="none" w:sz="0" w:space="0" w:color="auto"/>
        <w:right w:val="none" w:sz="0" w:space="0" w:color="auto"/>
      </w:divBdr>
    </w:div>
    <w:div w:id="1810245689">
      <w:bodyDiv w:val="1"/>
      <w:marLeft w:val="0"/>
      <w:marRight w:val="0"/>
      <w:marTop w:val="0"/>
      <w:marBottom w:val="0"/>
      <w:divBdr>
        <w:top w:val="none" w:sz="0" w:space="0" w:color="auto"/>
        <w:left w:val="none" w:sz="0" w:space="0" w:color="auto"/>
        <w:bottom w:val="none" w:sz="0" w:space="0" w:color="auto"/>
        <w:right w:val="none" w:sz="0" w:space="0" w:color="auto"/>
      </w:divBdr>
      <w:divsChild>
        <w:div w:id="1170177032">
          <w:marLeft w:val="0"/>
          <w:marRight w:val="0"/>
          <w:marTop w:val="0"/>
          <w:marBottom w:val="0"/>
          <w:divBdr>
            <w:top w:val="none" w:sz="0" w:space="0" w:color="auto"/>
            <w:left w:val="none" w:sz="0" w:space="0" w:color="auto"/>
            <w:bottom w:val="none" w:sz="0" w:space="0" w:color="auto"/>
            <w:right w:val="none" w:sz="0" w:space="0" w:color="auto"/>
          </w:divBdr>
          <w:divsChild>
            <w:div w:id="1429546812">
              <w:marLeft w:val="0"/>
              <w:marRight w:val="0"/>
              <w:marTop w:val="100"/>
              <w:marBottom w:val="100"/>
              <w:divBdr>
                <w:top w:val="none" w:sz="0" w:space="0" w:color="auto"/>
                <w:left w:val="none" w:sz="0" w:space="0" w:color="auto"/>
                <w:bottom w:val="none" w:sz="0" w:space="0" w:color="auto"/>
                <w:right w:val="none" w:sz="0" w:space="0" w:color="auto"/>
              </w:divBdr>
              <w:divsChild>
                <w:div w:id="1708143832">
                  <w:marLeft w:val="0"/>
                  <w:marRight w:val="0"/>
                  <w:marTop w:val="0"/>
                  <w:marBottom w:val="0"/>
                  <w:divBdr>
                    <w:top w:val="none" w:sz="0" w:space="0" w:color="auto"/>
                    <w:left w:val="none" w:sz="0" w:space="0" w:color="auto"/>
                    <w:bottom w:val="none" w:sz="0" w:space="0" w:color="auto"/>
                    <w:right w:val="none" w:sz="0" w:space="0" w:color="auto"/>
                  </w:divBdr>
                  <w:divsChild>
                    <w:div w:id="15571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www.boundaryproject.io/docs/installing/high-availability" TargetMode="External"/><Relationship Id="rId2" Type="http://schemas.openxmlformats.org/officeDocument/2006/relationships/styles" Target="styles.xml"/><Relationship Id="rId16" Type="http://schemas.openxmlformats.org/officeDocument/2006/relationships/hyperlink" Target="https://discuss.hashicorp.com/t/do-we-need-to-install-boundary-to-every-client/18218"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boundaryproject.io/docs/concepts" TargetMode="External"/><Relationship Id="rId11" Type="http://schemas.openxmlformats.org/officeDocument/2006/relationships/hyperlink" Target="https://www.boundaryproject.io/docs/concepts/domain-model" TargetMode="External"/><Relationship Id="rId5" Type="http://schemas.openxmlformats.org/officeDocument/2006/relationships/hyperlink" Target="https://www.mozilla.org/en-US/MPL/2.0/" TargetMode="External"/><Relationship Id="rId15" Type="http://schemas.openxmlformats.org/officeDocument/2006/relationships/hyperlink" Target="https://learn.hashicorp.com/tutorials/boundary/getting-started-dev?in=boundary/getting-started" TargetMode="External"/><Relationship Id="rId10" Type="http://schemas.openxmlformats.org/officeDocument/2006/relationships/hyperlink" Target="https://medium.com/hashicorp-engineering/hashicorp-boundary-make-sure-your-human-to-machine-access-is-secure-68718674c22c"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hashicorp.com/resources/secure-access-management-with-hashicorp-boundary" TargetMode="External"/><Relationship Id="rId14" Type="http://schemas.openxmlformats.org/officeDocument/2006/relationships/hyperlink" Target="https://learn.hashicorp.com/tutorials/boundary/getting-started-inst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1277</TotalTime>
  <Pages>3</Pages>
  <Words>632</Words>
  <Characters>3609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t16945</dc:creator>
  <cp:keywords/>
  <dc:description/>
  <cp:lastModifiedBy>Wang Chenyu</cp:lastModifiedBy>
  <cp:revision>3</cp:revision>
  <dcterms:created xsi:type="dcterms:W3CDTF">2020-11-28T12:47:00Z</dcterms:created>
  <dcterms:modified xsi:type="dcterms:W3CDTF">2020-12-03T18:02:00Z</dcterms:modified>
</cp:coreProperties>
</file>